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6DC4" w14:textId="46B63BB2" w:rsidR="007F4B86" w:rsidRPr="005668AE" w:rsidRDefault="007F4B86" w:rsidP="007A73B3">
      <w:pPr>
        <w:rPr>
          <w:sz w:val="32"/>
          <w:szCs w:val="32"/>
          <w:lang w:val="en-US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EFBC" wp14:editId="047671A2">
                <wp:simplePos x="0" y="0"/>
                <wp:positionH relativeFrom="column">
                  <wp:posOffset>1779905</wp:posOffset>
                </wp:positionH>
                <wp:positionV relativeFrom="paragraph">
                  <wp:posOffset>65405</wp:posOffset>
                </wp:positionV>
                <wp:extent cx="4343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86D1C" w14:textId="77777777" w:rsidR="003748C7" w:rsidRPr="005668AE" w:rsidRDefault="003748C7" w:rsidP="007F4B8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68A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AG2120 International Administration and Policy </w:t>
                            </w:r>
                          </w:p>
                          <w:p w14:paraId="40FEDCAD" w14:textId="187A6533" w:rsidR="003748C7" w:rsidRPr="004460B0" w:rsidRDefault="003748C7" w:rsidP="007F4B86">
                            <w:pPr>
                              <w:rPr>
                                <w:lang w:val="en-US"/>
                              </w:rPr>
                            </w:pPr>
                            <w:r w:rsidRPr="005668AE">
                              <w:rPr>
                                <w:sz w:val="32"/>
                                <w:szCs w:val="32"/>
                                <w:lang w:val="en-US"/>
                              </w:rPr>
                              <w:t>Fall 20</w:t>
                            </w:r>
                            <w:r w:rsidR="009518E9">
                              <w:rPr>
                                <w:sz w:val="32"/>
                                <w:szCs w:val="32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1CE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5pt;margin-top:5.15pt;width:342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" filled="f" stroked="f">
                <v:textbox>
                  <w:txbxContent>
                    <w:p w14:paraId="5D286D1C" w14:textId="77777777" w:rsidR="003748C7" w:rsidRPr="005668AE" w:rsidRDefault="003748C7" w:rsidP="007F4B86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5668AE">
                        <w:rPr>
                          <w:sz w:val="32"/>
                          <w:szCs w:val="32"/>
                          <w:lang w:val="en-US"/>
                        </w:rPr>
                        <w:t xml:space="preserve">AG2120 International Administration and Policy </w:t>
                      </w:r>
                    </w:p>
                    <w:p w14:paraId="40FEDCAD" w14:textId="187A6533" w:rsidR="003748C7" w:rsidRPr="004460B0" w:rsidRDefault="003748C7" w:rsidP="007F4B86">
                      <w:pPr>
                        <w:rPr>
                          <w:lang w:val="en-US"/>
                        </w:rPr>
                      </w:pPr>
                      <w:r w:rsidRPr="005668AE">
                        <w:rPr>
                          <w:sz w:val="32"/>
                          <w:szCs w:val="32"/>
                          <w:lang w:val="en-US"/>
                        </w:rPr>
                        <w:t>Fall 20</w:t>
                      </w:r>
                      <w:r w:rsidR="009518E9">
                        <w:rPr>
                          <w:sz w:val="32"/>
                          <w:szCs w:val="32"/>
                          <w:lang w:val="en-US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69867C95" wp14:editId="5D997C58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8710" w14:textId="60EEBEEF" w:rsidR="00543650" w:rsidRPr="005668AE" w:rsidRDefault="00543650" w:rsidP="007A73B3">
      <w:pPr>
        <w:rPr>
          <w:sz w:val="32"/>
          <w:szCs w:val="32"/>
          <w:lang w:val="en-US"/>
        </w:rPr>
      </w:pPr>
    </w:p>
    <w:p w14:paraId="2F402B22" w14:textId="77777777" w:rsidR="005668AE" w:rsidRPr="00C4331D" w:rsidRDefault="005668AE" w:rsidP="007A73B3">
      <w:pPr>
        <w:rPr>
          <w:sz w:val="22"/>
          <w:szCs w:val="22"/>
          <w:lang w:val="en-US"/>
        </w:rPr>
      </w:pPr>
    </w:p>
    <w:p w14:paraId="726BD7D3" w14:textId="4EF1F51F" w:rsidR="00935EF4" w:rsidRPr="00935EF4" w:rsidRDefault="00935EF4" w:rsidP="007A73B3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35EF4">
        <w:rPr>
          <w:b/>
          <w:bCs/>
          <w:sz w:val="22"/>
          <w:szCs w:val="22"/>
        </w:rPr>
        <w:t xml:space="preserve">General description </w:t>
      </w:r>
      <w:r w:rsidR="007F4B86">
        <w:rPr>
          <w:b/>
          <w:bCs/>
          <w:sz w:val="22"/>
          <w:szCs w:val="22"/>
        </w:rPr>
        <w:t>of the course</w:t>
      </w:r>
    </w:p>
    <w:p w14:paraId="01C7ACED" w14:textId="1CFB5FC7" w:rsidR="00935EF4" w:rsidRDefault="00935EF4" w:rsidP="007A73B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35EF4">
        <w:rPr>
          <w:sz w:val="22"/>
          <w:szCs w:val="22"/>
        </w:rPr>
        <w:t xml:space="preserve">The course analyzes in depth the </w:t>
      </w:r>
      <w:r w:rsidR="003E288B">
        <w:rPr>
          <w:sz w:val="22"/>
          <w:szCs w:val="22"/>
        </w:rPr>
        <w:t xml:space="preserve">complex </w:t>
      </w:r>
      <w:r w:rsidR="001E75C7">
        <w:rPr>
          <w:sz w:val="22"/>
          <w:szCs w:val="22"/>
        </w:rPr>
        <w:t xml:space="preserve">clusters of issues </w:t>
      </w:r>
      <w:r w:rsidR="003E288B">
        <w:rPr>
          <w:sz w:val="22"/>
          <w:szCs w:val="22"/>
        </w:rPr>
        <w:t xml:space="preserve">of </w:t>
      </w:r>
      <w:r w:rsidR="00DF3A04">
        <w:rPr>
          <w:sz w:val="22"/>
          <w:szCs w:val="22"/>
        </w:rPr>
        <w:t xml:space="preserve">global trade, international policy and development aid and how these affect outcomes of concern, particularly economic growth, poverty alleviation, and political development. </w:t>
      </w:r>
      <w:r w:rsidRPr="00935EF4">
        <w:rPr>
          <w:sz w:val="22"/>
          <w:szCs w:val="22"/>
        </w:rPr>
        <w:t xml:space="preserve">It seeks to </w:t>
      </w:r>
      <w:r w:rsidR="00C238BD">
        <w:rPr>
          <w:sz w:val="22"/>
          <w:szCs w:val="22"/>
        </w:rPr>
        <w:t>develop</w:t>
      </w:r>
      <w:r w:rsidRPr="00935EF4">
        <w:rPr>
          <w:sz w:val="22"/>
          <w:szCs w:val="22"/>
        </w:rPr>
        <w:t xml:space="preserve"> </w:t>
      </w:r>
      <w:r w:rsidR="00C238BD">
        <w:rPr>
          <w:sz w:val="22"/>
          <w:szCs w:val="22"/>
        </w:rPr>
        <w:t>relevant and applicable</w:t>
      </w:r>
      <w:r w:rsidRPr="00935EF4">
        <w:rPr>
          <w:sz w:val="22"/>
          <w:szCs w:val="22"/>
        </w:rPr>
        <w:t xml:space="preserve"> knowledge and skills </w:t>
      </w:r>
      <w:r w:rsidR="00C238BD">
        <w:rPr>
          <w:sz w:val="22"/>
          <w:szCs w:val="22"/>
        </w:rPr>
        <w:t>needed</w:t>
      </w:r>
      <w:r w:rsidRPr="00935EF4">
        <w:rPr>
          <w:sz w:val="22"/>
          <w:szCs w:val="22"/>
        </w:rPr>
        <w:t xml:space="preserve"> both to analyze and contribute to the work of int</w:t>
      </w:r>
      <w:r w:rsidR="00BA5CAD">
        <w:rPr>
          <w:sz w:val="22"/>
          <w:szCs w:val="22"/>
        </w:rPr>
        <w:t xml:space="preserve">ernational and </w:t>
      </w:r>
      <w:r w:rsidR="00C238BD">
        <w:rPr>
          <w:sz w:val="22"/>
          <w:szCs w:val="22"/>
        </w:rPr>
        <w:t xml:space="preserve">national organizations active in these </w:t>
      </w:r>
      <w:r w:rsidR="00EF4790">
        <w:rPr>
          <w:sz w:val="22"/>
          <w:szCs w:val="22"/>
        </w:rPr>
        <w:t>and related</w:t>
      </w:r>
      <w:r w:rsidR="00C238BD">
        <w:rPr>
          <w:sz w:val="22"/>
          <w:szCs w:val="22"/>
        </w:rPr>
        <w:t xml:space="preserve"> areas</w:t>
      </w:r>
      <w:r w:rsidR="00DF3A04">
        <w:rPr>
          <w:sz w:val="22"/>
          <w:szCs w:val="22"/>
        </w:rPr>
        <w:t xml:space="preserve">. </w:t>
      </w:r>
      <w:r w:rsidR="00E73B3D">
        <w:rPr>
          <w:sz w:val="22"/>
          <w:szCs w:val="22"/>
        </w:rPr>
        <w:t>T</w:t>
      </w:r>
      <w:r w:rsidR="00EF4790">
        <w:rPr>
          <w:sz w:val="22"/>
          <w:szCs w:val="22"/>
        </w:rPr>
        <w:t xml:space="preserve">he course aims to develop students’ understanding of how seemingly separate international issues </w:t>
      </w:r>
      <w:r w:rsidR="006D00AF">
        <w:rPr>
          <w:sz w:val="22"/>
          <w:szCs w:val="22"/>
        </w:rPr>
        <w:t xml:space="preserve">interact and affect one another. </w:t>
      </w:r>
      <w:r w:rsidR="00BE360A">
        <w:rPr>
          <w:sz w:val="22"/>
          <w:szCs w:val="22"/>
        </w:rPr>
        <w:t>In an at</w:t>
      </w:r>
      <w:r w:rsidR="00BA5CAD">
        <w:rPr>
          <w:sz w:val="22"/>
          <w:szCs w:val="22"/>
        </w:rPr>
        <w:t>tempt to understand the dynamic determinants</w:t>
      </w:r>
      <w:r w:rsidR="00BE360A">
        <w:rPr>
          <w:sz w:val="22"/>
          <w:szCs w:val="22"/>
        </w:rPr>
        <w:t xml:space="preserve"> of economic and political development, t</w:t>
      </w:r>
      <w:r w:rsidR="006D00AF">
        <w:rPr>
          <w:sz w:val="22"/>
          <w:szCs w:val="22"/>
        </w:rPr>
        <w:t>h</w:t>
      </w:r>
      <w:r w:rsidR="00C238BD">
        <w:rPr>
          <w:sz w:val="22"/>
          <w:szCs w:val="22"/>
        </w:rPr>
        <w:t xml:space="preserve">e </w:t>
      </w:r>
      <w:r w:rsidR="009B7883">
        <w:rPr>
          <w:sz w:val="22"/>
          <w:szCs w:val="22"/>
        </w:rPr>
        <w:t xml:space="preserve">course examines </w:t>
      </w:r>
      <w:r w:rsidR="00BE360A">
        <w:rPr>
          <w:sz w:val="22"/>
          <w:szCs w:val="22"/>
        </w:rPr>
        <w:t xml:space="preserve">the implications of </w:t>
      </w:r>
      <w:r w:rsidR="009B7883">
        <w:rPr>
          <w:sz w:val="22"/>
          <w:szCs w:val="22"/>
        </w:rPr>
        <w:t xml:space="preserve">global trade in natural resources, specifically </w:t>
      </w:r>
      <w:r w:rsidR="00C238BD">
        <w:rPr>
          <w:sz w:val="22"/>
          <w:szCs w:val="22"/>
        </w:rPr>
        <w:t>extractive industries and agricu</w:t>
      </w:r>
      <w:r w:rsidR="009B7883">
        <w:rPr>
          <w:sz w:val="22"/>
          <w:szCs w:val="22"/>
        </w:rPr>
        <w:t xml:space="preserve">lture, </w:t>
      </w:r>
      <w:r w:rsidR="00BE360A">
        <w:rPr>
          <w:sz w:val="22"/>
          <w:szCs w:val="22"/>
        </w:rPr>
        <w:t>as well as a number of relevant global policy</w:t>
      </w:r>
      <w:r w:rsidR="009B7883">
        <w:rPr>
          <w:sz w:val="22"/>
          <w:szCs w:val="22"/>
        </w:rPr>
        <w:t xml:space="preserve"> </w:t>
      </w:r>
      <w:r w:rsidR="00BE360A">
        <w:rPr>
          <w:sz w:val="22"/>
          <w:szCs w:val="22"/>
        </w:rPr>
        <w:t xml:space="preserve">approaches, such as </w:t>
      </w:r>
      <w:r w:rsidR="009B7883">
        <w:rPr>
          <w:sz w:val="22"/>
          <w:szCs w:val="22"/>
        </w:rPr>
        <w:t>development aid, anti-corruption and democratic development</w:t>
      </w:r>
      <w:r w:rsidR="00BE360A">
        <w:rPr>
          <w:sz w:val="22"/>
          <w:szCs w:val="22"/>
        </w:rPr>
        <w:t>,</w:t>
      </w:r>
      <w:r w:rsidR="009B7883">
        <w:rPr>
          <w:sz w:val="22"/>
          <w:szCs w:val="22"/>
        </w:rPr>
        <w:t xml:space="preserve"> each of which have </w:t>
      </w:r>
      <w:r w:rsidR="00BE360A">
        <w:rPr>
          <w:sz w:val="22"/>
          <w:szCs w:val="22"/>
        </w:rPr>
        <w:t xml:space="preserve">had varying levels of success, </w:t>
      </w:r>
      <w:r w:rsidR="00BA5CAD">
        <w:rPr>
          <w:sz w:val="22"/>
          <w:szCs w:val="22"/>
        </w:rPr>
        <w:t xml:space="preserve">as well as </w:t>
      </w:r>
      <w:r w:rsidR="00BE360A">
        <w:rPr>
          <w:sz w:val="22"/>
          <w:szCs w:val="22"/>
        </w:rPr>
        <w:t xml:space="preserve">both intended and unintended consequences. </w:t>
      </w:r>
      <w:r w:rsidR="00D83EF4">
        <w:rPr>
          <w:sz w:val="22"/>
          <w:szCs w:val="22"/>
        </w:rPr>
        <w:t xml:space="preserve">Questions dealt with relate to how </w:t>
      </w:r>
      <w:r w:rsidR="00AF4A09">
        <w:rPr>
          <w:sz w:val="22"/>
          <w:szCs w:val="22"/>
        </w:rPr>
        <w:t xml:space="preserve">global </w:t>
      </w:r>
      <w:r w:rsidR="00D83EF4">
        <w:rPr>
          <w:sz w:val="22"/>
          <w:szCs w:val="22"/>
        </w:rPr>
        <w:t xml:space="preserve">commodities markets affect producers in various regions of the world; </w:t>
      </w:r>
      <w:r w:rsidR="00982399">
        <w:rPr>
          <w:sz w:val="22"/>
          <w:szCs w:val="22"/>
        </w:rPr>
        <w:t xml:space="preserve">whether states and the international community can effect change </w:t>
      </w:r>
      <w:r w:rsidR="00674547">
        <w:rPr>
          <w:sz w:val="22"/>
          <w:szCs w:val="22"/>
        </w:rPr>
        <w:t xml:space="preserve">– either positive or negative – in terms of democracy and </w:t>
      </w:r>
      <w:r w:rsidR="00D83EF4">
        <w:rPr>
          <w:sz w:val="22"/>
          <w:szCs w:val="22"/>
        </w:rPr>
        <w:t>good government</w:t>
      </w:r>
      <w:r w:rsidR="00674547">
        <w:rPr>
          <w:sz w:val="22"/>
          <w:szCs w:val="22"/>
        </w:rPr>
        <w:t xml:space="preserve">; how development aid </w:t>
      </w:r>
      <w:r w:rsidR="001E75C7">
        <w:rPr>
          <w:sz w:val="22"/>
          <w:szCs w:val="22"/>
        </w:rPr>
        <w:t xml:space="preserve">is </w:t>
      </w:r>
      <w:r w:rsidR="00674547">
        <w:rPr>
          <w:sz w:val="22"/>
          <w:szCs w:val="22"/>
        </w:rPr>
        <w:t>structured and o</w:t>
      </w:r>
      <w:r w:rsidR="00702016">
        <w:rPr>
          <w:sz w:val="22"/>
          <w:szCs w:val="22"/>
        </w:rPr>
        <w:t>rganized historically and today</w:t>
      </w:r>
      <w:r w:rsidR="00AF4A09">
        <w:rPr>
          <w:sz w:val="22"/>
          <w:szCs w:val="22"/>
        </w:rPr>
        <w:t xml:space="preserve">, and </w:t>
      </w:r>
      <w:r w:rsidR="00BA5CAD">
        <w:rPr>
          <w:sz w:val="22"/>
          <w:szCs w:val="22"/>
        </w:rPr>
        <w:t>the implications of these approaches for development</w:t>
      </w:r>
      <w:r w:rsidR="00702016">
        <w:rPr>
          <w:sz w:val="22"/>
          <w:szCs w:val="22"/>
        </w:rPr>
        <w:t xml:space="preserve">. </w:t>
      </w:r>
    </w:p>
    <w:p w14:paraId="4C5C0BAC" w14:textId="77777777" w:rsidR="005668AE" w:rsidRPr="005668AE" w:rsidRDefault="005668AE" w:rsidP="007A73B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3EB7599" w14:textId="47AE9505" w:rsidR="004C77B8" w:rsidRDefault="00A277C0" w:rsidP="007A73B3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Learning outcomes</w:t>
      </w:r>
    </w:p>
    <w:p w14:paraId="22B56BC9" w14:textId="0B92D8B2" w:rsidR="00E35406" w:rsidRPr="00E35406" w:rsidRDefault="0026245C" w:rsidP="007A73B3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After passing the course, a</w:t>
      </w:r>
      <w:r w:rsidR="00E35406" w:rsidRPr="00E35406">
        <w:rPr>
          <w:rFonts w:ascii="Times New Roman" w:hAnsi="Times New Roman"/>
          <w:sz w:val="22"/>
          <w:szCs w:val="22"/>
        </w:rPr>
        <w:t xml:space="preserve"> student will be able to:</w:t>
      </w:r>
    </w:p>
    <w:p w14:paraId="4C05C383" w14:textId="142A53A1" w:rsidR="00A277C0" w:rsidRPr="00A277C0" w:rsidRDefault="00A277C0" w:rsidP="007A73B3">
      <w:pPr>
        <w:pStyle w:val="NormalWeb"/>
        <w:spacing w:after="0" w:afterAutospacing="0"/>
        <w:rPr>
          <w:rFonts w:ascii="Times New Roman" w:hAnsi="Times New Roman"/>
          <w:i/>
          <w:sz w:val="22"/>
          <w:szCs w:val="22"/>
        </w:rPr>
      </w:pPr>
      <w:r w:rsidRPr="00A277C0">
        <w:rPr>
          <w:rFonts w:ascii="Times New Roman" w:hAnsi="Times New Roman"/>
          <w:i/>
          <w:sz w:val="22"/>
          <w:szCs w:val="22"/>
        </w:rPr>
        <w:t>Knowledge and understanding</w:t>
      </w:r>
    </w:p>
    <w:p w14:paraId="6F11C678" w14:textId="02C44954" w:rsidR="00A277C0" w:rsidRPr="004460B0" w:rsidRDefault="00A277C0" w:rsidP="007A73B3">
      <w:pPr>
        <w:pStyle w:val="BodyText"/>
        <w:numPr>
          <w:ilvl w:val="0"/>
          <w:numId w:val="8"/>
        </w:numPr>
        <w:spacing w:before="40" w:after="0"/>
        <w:ind w:left="714" w:right="187" w:hanging="357"/>
        <w:jc w:val="left"/>
        <w:rPr>
          <w:sz w:val="22"/>
          <w:lang w:val="en-US"/>
        </w:rPr>
      </w:pPr>
      <w:r w:rsidRPr="004460B0">
        <w:rPr>
          <w:sz w:val="22"/>
          <w:szCs w:val="22"/>
          <w:lang w:val="en-US"/>
        </w:rPr>
        <w:t xml:space="preserve">analyze in depth some of the key policy issues </w:t>
      </w:r>
      <w:r w:rsidR="00E35406" w:rsidRPr="004460B0">
        <w:rPr>
          <w:sz w:val="22"/>
          <w:szCs w:val="22"/>
          <w:lang w:val="en-US"/>
        </w:rPr>
        <w:t>regulated</w:t>
      </w:r>
      <w:r w:rsidRPr="004460B0">
        <w:rPr>
          <w:sz w:val="22"/>
          <w:szCs w:val="22"/>
          <w:lang w:val="en-US"/>
        </w:rPr>
        <w:t xml:space="preserve"> (or not) at the international level, and how do they interrelate to one another </w:t>
      </w:r>
    </w:p>
    <w:p w14:paraId="17F7DC89" w14:textId="31D85FA8" w:rsidR="00A277C0" w:rsidRPr="00C4331D" w:rsidRDefault="00A277C0" w:rsidP="007A73B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assess the </w:t>
      </w:r>
      <w:r w:rsidRPr="00C4331D">
        <w:rPr>
          <w:rFonts w:ascii="Times New Roman" w:hAnsi="Times New Roman"/>
          <w:sz w:val="22"/>
          <w:szCs w:val="22"/>
        </w:rPr>
        <w:t xml:space="preserve">implications </w:t>
      </w:r>
      <w:r>
        <w:rPr>
          <w:rFonts w:ascii="Times New Roman" w:hAnsi="Times New Roman"/>
          <w:sz w:val="22"/>
          <w:szCs w:val="22"/>
        </w:rPr>
        <w:t xml:space="preserve">of </w:t>
      </w:r>
      <w:r w:rsidRPr="00C4331D">
        <w:rPr>
          <w:rFonts w:ascii="Times New Roman" w:hAnsi="Times New Roman"/>
          <w:sz w:val="22"/>
          <w:szCs w:val="22"/>
        </w:rPr>
        <w:t xml:space="preserve">different policy approaches and interventions, including both intended and unintended effects </w:t>
      </w:r>
    </w:p>
    <w:p w14:paraId="1AD43FD3" w14:textId="0EC84F7D" w:rsidR="00A277C0" w:rsidRPr="00C4331D" w:rsidRDefault="00A277C0" w:rsidP="007A73B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analyze h</w:t>
      </w:r>
      <w:r w:rsidRPr="00C4331D">
        <w:rPr>
          <w:rFonts w:ascii="Times New Roman" w:hAnsi="Times New Roman"/>
          <w:sz w:val="22"/>
          <w:szCs w:val="22"/>
        </w:rPr>
        <w:t>ow international policy efforts interact with national conditions – political,</w:t>
      </w:r>
      <w:r w:rsidR="00E35406">
        <w:rPr>
          <w:rFonts w:ascii="Times New Roman" w:hAnsi="Times New Roman"/>
          <w:sz w:val="22"/>
          <w:szCs w:val="22"/>
        </w:rPr>
        <w:t xml:space="preserve"> legal,</w:t>
      </w:r>
      <w:r w:rsidRPr="00C4331D">
        <w:rPr>
          <w:rFonts w:ascii="Times New Roman" w:hAnsi="Times New Roman"/>
          <w:sz w:val="22"/>
          <w:szCs w:val="22"/>
        </w:rPr>
        <w:t xml:space="preserve"> institutional, economic and cultural – to </w:t>
      </w:r>
      <w:r w:rsidR="00E35406">
        <w:rPr>
          <w:rFonts w:ascii="Times New Roman" w:hAnsi="Times New Roman"/>
          <w:sz w:val="22"/>
          <w:szCs w:val="22"/>
        </w:rPr>
        <w:t>shape outcomes</w:t>
      </w:r>
    </w:p>
    <w:p w14:paraId="737F26C7" w14:textId="5AB7D1EC" w:rsidR="00E35406" w:rsidRPr="00E35406" w:rsidRDefault="00A277C0" w:rsidP="007A73B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examine and critically analyze the </w:t>
      </w:r>
      <w:r w:rsidRPr="00C4331D">
        <w:rPr>
          <w:rFonts w:ascii="Times New Roman" w:hAnsi="Times New Roman"/>
          <w:sz w:val="22"/>
          <w:szCs w:val="22"/>
        </w:rPr>
        <w:t xml:space="preserve">methods used in practice </w:t>
      </w:r>
      <w:r>
        <w:rPr>
          <w:rFonts w:ascii="Times New Roman" w:hAnsi="Times New Roman"/>
          <w:sz w:val="22"/>
          <w:szCs w:val="22"/>
        </w:rPr>
        <w:t>in these policy areas, in particular in the area of development aid</w:t>
      </w:r>
      <w:r w:rsidR="00E35406" w:rsidRPr="00E35406">
        <w:rPr>
          <w:w w:val="105"/>
          <w:sz w:val="22"/>
        </w:rPr>
        <w:t xml:space="preserve"> </w:t>
      </w:r>
    </w:p>
    <w:p w14:paraId="7463197D" w14:textId="6FFFA4B0" w:rsidR="00A277C0" w:rsidRPr="00A277C0" w:rsidRDefault="00E35406" w:rsidP="007A73B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A277C0">
        <w:rPr>
          <w:w w:val="105"/>
          <w:sz w:val="22"/>
        </w:rPr>
        <w:t>independently produce text in accordance with good academic practice,</w:t>
      </w:r>
      <w:r w:rsidRPr="00A277C0">
        <w:rPr>
          <w:spacing w:val="53"/>
          <w:w w:val="105"/>
          <w:sz w:val="22"/>
        </w:rPr>
        <w:t xml:space="preserve"> </w:t>
      </w:r>
      <w:r w:rsidRPr="00A277C0">
        <w:rPr>
          <w:w w:val="105"/>
          <w:sz w:val="22"/>
        </w:rPr>
        <w:t>including</w:t>
      </w:r>
      <w:r w:rsidRPr="00A277C0">
        <w:rPr>
          <w:w w:val="104"/>
          <w:sz w:val="22"/>
        </w:rPr>
        <w:t xml:space="preserve"> </w:t>
      </w:r>
      <w:r w:rsidRPr="00A277C0">
        <w:rPr>
          <w:w w:val="105"/>
          <w:sz w:val="22"/>
        </w:rPr>
        <w:t>proper citation technique and use of</w:t>
      </w:r>
      <w:r w:rsidRPr="00A277C0">
        <w:rPr>
          <w:spacing w:val="43"/>
          <w:w w:val="105"/>
          <w:sz w:val="22"/>
        </w:rPr>
        <w:t xml:space="preserve"> </w:t>
      </w:r>
      <w:r w:rsidRPr="00A277C0">
        <w:rPr>
          <w:w w:val="105"/>
          <w:sz w:val="22"/>
        </w:rPr>
        <w:t>references</w:t>
      </w:r>
    </w:p>
    <w:p w14:paraId="4F303174" w14:textId="0F97C24D" w:rsidR="008C68A4" w:rsidRPr="00A277C0" w:rsidRDefault="008C68A4" w:rsidP="007A73B3">
      <w:pPr>
        <w:pStyle w:val="NormalWeb"/>
        <w:spacing w:after="0" w:afterAutospacing="0"/>
        <w:rPr>
          <w:rFonts w:ascii="Times New Roman" w:hAnsi="Times New Roman"/>
          <w:i/>
          <w:sz w:val="22"/>
          <w:szCs w:val="22"/>
        </w:rPr>
      </w:pPr>
      <w:r w:rsidRPr="00A277C0">
        <w:rPr>
          <w:rFonts w:ascii="Times New Roman" w:hAnsi="Times New Roman"/>
          <w:i/>
          <w:sz w:val="22"/>
          <w:szCs w:val="22"/>
        </w:rPr>
        <w:t>Skills</w:t>
      </w:r>
      <w:r w:rsidR="00A277C0" w:rsidRPr="00A277C0">
        <w:rPr>
          <w:rFonts w:ascii="Times New Roman" w:hAnsi="Times New Roman"/>
          <w:i/>
          <w:sz w:val="22"/>
          <w:szCs w:val="22"/>
        </w:rPr>
        <w:t xml:space="preserve"> and abilities</w:t>
      </w:r>
    </w:p>
    <w:p w14:paraId="769292F3" w14:textId="545843EE" w:rsidR="00F818B4" w:rsidRPr="00C4331D" w:rsidRDefault="00E35406" w:rsidP="007A73B3">
      <w:pPr>
        <w:pStyle w:val="NormalWeb"/>
        <w:numPr>
          <w:ilvl w:val="0"/>
          <w:numId w:val="7"/>
        </w:numPr>
        <w:spacing w:before="0" w:beforeAutospacing="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survey</w:t>
      </w:r>
      <w:r w:rsidR="004C77B8" w:rsidRPr="00C433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 synthesize</w:t>
      </w:r>
      <w:r w:rsidR="00EC4E06" w:rsidRPr="00C4331D">
        <w:rPr>
          <w:rFonts w:ascii="Times New Roman" w:hAnsi="Times New Roman"/>
          <w:sz w:val="22"/>
          <w:szCs w:val="22"/>
        </w:rPr>
        <w:t xml:space="preserve"> </w:t>
      </w:r>
      <w:r w:rsidR="004C77B8" w:rsidRPr="00C4331D">
        <w:rPr>
          <w:rFonts w:ascii="Times New Roman" w:hAnsi="Times New Roman"/>
          <w:sz w:val="22"/>
          <w:szCs w:val="22"/>
        </w:rPr>
        <w:t xml:space="preserve">existing knowledge </w:t>
      </w:r>
      <w:r w:rsidR="00F73CFC" w:rsidRPr="00C4331D">
        <w:rPr>
          <w:rFonts w:ascii="Times New Roman" w:hAnsi="Times New Roman"/>
          <w:sz w:val="22"/>
          <w:szCs w:val="22"/>
        </w:rPr>
        <w:t>on specific</w:t>
      </w:r>
      <w:r w:rsidR="00833FFF" w:rsidRPr="00C4331D">
        <w:rPr>
          <w:rFonts w:ascii="Times New Roman" w:hAnsi="Times New Roman"/>
          <w:sz w:val="22"/>
          <w:szCs w:val="22"/>
        </w:rPr>
        <w:t xml:space="preserve"> policy </w:t>
      </w:r>
      <w:r w:rsidR="00F73CFC" w:rsidRPr="00C4331D">
        <w:rPr>
          <w:rFonts w:ascii="Times New Roman" w:hAnsi="Times New Roman"/>
          <w:sz w:val="22"/>
          <w:szCs w:val="22"/>
        </w:rPr>
        <w:t>interventions</w:t>
      </w:r>
      <w:r w:rsidR="00833FFF" w:rsidRPr="00C4331D">
        <w:rPr>
          <w:rFonts w:ascii="Times New Roman" w:hAnsi="Times New Roman"/>
          <w:sz w:val="22"/>
          <w:szCs w:val="22"/>
        </w:rPr>
        <w:t xml:space="preserve"> and their impacts</w:t>
      </w:r>
      <w:r w:rsidR="004C77B8" w:rsidRPr="00C4331D">
        <w:rPr>
          <w:rFonts w:ascii="Times New Roman" w:hAnsi="Times New Roman"/>
          <w:sz w:val="22"/>
          <w:szCs w:val="22"/>
        </w:rPr>
        <w:t xml:space="preserve"> </w:t>
      </w:r>
      <w:r w:rsidR="00F73CFC" w:rsidRPr="00C4331D">
        <w:rPr>
          <w:rFonts w:ascii="Times New Roman" w:hAnsi="Times New Roman"/>
          <w:sz w:val="22"/>
          <w:szCs w:val="22"/>
        </w:rPr>
        <w:t>given different contextual conditions</w:t>
      </w:r>
      <w:r>
        <w:rPr>
          <w:rFonts w:ascii="Times New Roman" w:hAnsi="Times New Roman"/>
          <w:sz w:val="22"/>
          <w:szCs w:val="22"/>
        </w:rPr>
        <w:t xml:space="preserve"> and bring these insights to bear to elucidate a specific case or issue</w:t>
      </w:r>
    </w:p>
    <w:p w14:paraId="16ACC844" w14:textId="1144716E" w:rsidR="00833FFF" w:rsidRPr="00C4331D" w:rsidRDefault="00E35406" w:rsidP="007A73B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833FFF" w:rsidRPr="00C4331D">
        <w:rPr>
          <w:rFonts w:ascii="Times New Roman" w:hAnsi="Times New Roman"/>
          <w:sz w:val="22"/>
          <w:szCs w:val="22"/>
        </w:rPr>
        <w:t>valuating policy needs, implementation and outcome</w:t>
      </w:r>
      <w:r w:rsidR="00EC4E06" w:rsidRPr="00C4331D">
        <w:rPr>
          <w:rFonts w:ascii="Times New Roman" w:hAnsi="Times New Roman"/>
          <w:sz w:val="22"/>
          <w:szCs w:val="22"/>
        </w:rPr>
        <w:t>s, both with an academic approach and a policy approach</w:t>
      </w:r>
    </w:p>
    <w:p w14:paraId="618BAE8B" w14:textId="557E209D" w:rsidR="000F3E32" w:rsidRPr="00C4331D" w:rsidRDefault="00E35406" w:rsidP="007A73B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0F3E32" w:rsidRPr="00C4331D">
        <w:rPr>
          <w:rFonts w:ascii="Times New Roman" w:hAnsi="Times New Roman"/>
          <w:sz w:val="22"/>
          <w:szCs w:val="22"/>
        </w:rPr>
        <w:t>ommunicat</w:t>
      </w:r>
      <w:r>
        <w:rPr>
          <w:rFonts w:ascii="Times New Roman" w:hAnsi="Times New Roman"/>
          <w:sz w:val="22"/>
          <w:szCs w:val="22"/>
        </w:rPr>
        <w:t>e</w:t>
      </w:r>
      <w:r w:rsidR="000F3E32" w:rsidRPr="00C4331D">
        <w:rPr>
          <w:rFonts w:ascii="Times New Roman" w:hAnsi="Times New Roman"/>
          <w:sz w:val="22"/>
          <w:szCs w:val="22"/>
        </w:rPr>
        <w:t xml:space="preserve"> results of policy analysis to academic audiences and practitioners both</w:t>
      </w:r>
      <w:r w:rsidR="00F818B4" w:rsidRPr="00C4331D">
        <w:rPr>
          <w:rFonts w:ascii="Times New Roman" w:hAnsi="Times New Roman"/>
          <w:sz w:val="22"/>
          <w:szCs w:val="22"/>
        </w:rPr>
        <w:t xml:space="preserve"> </w:t>
      </w:r>
      <w:r w:rsidR="000F3E32" w:rsidRPr="00C4331D">
        <w:rPr>
          <w:rFonts w:ascii="Times New Roman" w:hAnsi="Times New Roman"/>
          <w:sz w:val="22"/>
          <w:szCs w:val="22"/>
        </w:rPr>
        <w:t xml:space="preserve">verbally and in writing </w:t>
      </w:r>
    </w:p>
    <w:p w14:paraId="5ACCF54D" w14:textId="12514D1B" w:rsidR="004C77B8" w:rsidRPr="00C4331D" w:rsidRDefault="00E35406" w:rsidP="007A73B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argue</w:t>
      </w:r>
      <w:r w:rsidR="004C77B8" w:rsidRPr="00C4331D">
        <w:rPr>
          <w:rFonts w:ascii="Times New Roman" w:hAnsi="Times New Roman"/>
          <w:sz w:val="22"/>
          <w:szCs w:val="22"/>
        </w:rPr>
        <w:t xml:space="preserve"> persuasively </w:t>
      </w:r>
      <w:r w:rsidR="00833FFF" w:rsidRPr="00C4331D">
        <w:rPr>
          <w:rFonts w:ascii="Times New Roman" w:hAnsi="Times New Roman"/>
          <w:sz w:val="22"/>
          <w:szCs w:val="22"/>
        </w:rPr>
        <w:t>in order to draw attention to an issue and promote possible solutions</w:t>
      </w:r>
      <w:r w:rsidR="004C77B8" w:rsidRPr="00C4331D">
        <w:rPr>
          <w:rFonts w:ascii="Times New Roman" w:hAnsi="Times New Roman"/>
          <w:sz w:val="22"/>
          <w:szCs w:val="22"/>
        </w:rPr>
        <w:t xml:space="preserve"> </w:t>
      </w:r>
    </w:p>
    <w:p w14:paraId="6B09CB6F" w14:textId="73245F38" w:rsidR="00222073" w:rsidRDefault="00E35406" w:rsidP="007A73B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assess one other</w:t>
      </w:r>
      <w:r w:rsidR="00222073" w:rsidRPr="00C4331D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’</w:t>
      </w:r>
      <w:r w:rsidR="00222073" w:rsidRPr="00C4331D">
        <w:rPr>
          <w:rFonts w:ascii="Times New Roman" w:hAnsi="Times New Roman"/>
          <w:sz w:val="22"/>
          <w:szCs w:val="22"/>
        </w:rPr>
        <w:t xml:space="preserve"> work </w:t>
      </w:r>
      <w:r>
        <w:rPr>
          <w:rFonts w:ascii="Times New Roman" w:hAnsi="Times New Roman"/>
          <w:sz w:val="22"/>
          <w:szCs w:val="22"/>
        </w:rPr>
        <w:t xml:space="preserve">and provide </w:t>
      </w:r>
      <w:r w:rsidR="00222073" w:rsidRPr="00C4331D">
        <w:rPr>
          <w:rFonts w:ascii="Times New Roman" w:hAnsi="Times New Roman"/>
          <w:sz w:val="22"/>
          <w:szCs w:val="22"/>
        </w:rPr>
        <w:t>feedback</w:t>
      </w:r>
      <w:r>
        <w:rPr>
          <w:rFonts w:ascii="Times New Roman" w:hAnsi="Times New Roman"/>
          <w:sz w:val="22"/>
          <w:szCs w:val="22"/>
        </w:rPr>
        <w:t xml:space="preserve"> constructively</w:t>
      </w:r>
    </w:p>
    <w:p w14:paraId="11D0A2EE" w14:textId="4ADCDFDF" w:rsidR="004873C8" w:rsidRPr="00C4331D" w:rsidRDefault="004873C8" w:rsidP="007A73B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 effectively under time constraints</w:t>
      </w:r>
    </w:p>
    <w:p w14:paraId="18D8087F" w14:textId="427C0B81" w:rsidR="004275D4" w:rsidRPr="004275D4" w:rsidRDefault="00E35406" w:rsidP="007A73B3">
      <w:pPr>
        <w:rPr>
          <w:bCs/>
          <w:i/>
          <w:sz w:val="22"/>
          <w:szCs w:val="22"/>
          <w:lang w:val="en-US" w:eastAsia="en-US"/>
        </w:rPr>
      </w:pPr>
      <w:r>
        <w:rPr>
          <w:bCs/>
          <w:i/>
          <w:sz w:val="22"/>
          <w:szCs w:val="22"/>
          <w:lang w:val="en-US" w:eastAsia="en-US"/>
        </w:rPr>
        <w:t>Judg</w:t>
      </w:r>
      <w:r w:rsidR="004275D4" w:rsidRPr="004275D4">
        <w:rPr>
          <w:bCs/>
          <w:i/>
          <w:sz w:val="22"/>
          <w:szCs w:val="22"/>
          <w:lang w:val="en-US" w:eastAsia="en-US"/>
        </w:rPr>
        <w:t>ment and approach</w:t>
      </w:r>
    </w:p>
    <w:p w14:paraId="2507997C" w14:textId="0A7E2B26" w:rsidR="004275D4" w:rsidRPr="004275D4" w:rsidRDefault="004275D4" w:rsidP="007A73B3">
      <w:pPr>
        <w:pStyle w:val="ListParagraph"/>
        <w:numPr>
          <w:ilvl w:val="0"/>
          <w:numId w:val="10"/>
        </w:numPr>
        <w:rPr>
          <w:bCs/>
          <w:sz w:val="22"/>
          <w:szCs w:val="22"/>
          <w:lang w:val="en-US" w:eastAsia="en-US"/>
        </w:rPr>
      </w:pPr>
      <w:r w:rsidRPr="004275D4">
        <w:rPr>
          <w:bCs/>
          <w:sz w:val="22"/>
          <w:szCs w:val="22"/>
          <w:lang w:val="en-US" w:eastAsia="en-US"/>
        </w:rPr>
        <w:t xml:space="preserve">understand and critically evaluate, in an in-depth way, social scientific research based on the various analytical perspectives. </w:t>
      </w:r>
    </w:p>
    <w:p w14:paraId="250FF765" w14:textId="77777777" w:rsidR="004275D4" w:rsidRDefault="004275D4" w:rsidP="007A73B3">
      <w:pPr>
        <w:rPr>
          <w:b/>
          <w:bCs/>
          <w:sz w:val="22"/>
          <w:szCs w:val="22"/>
          <w:lang w:val="en-US" w:eastAsia="en-US"/>
        </w:rPr>
      </w:pPr>
    </w:p>
    <w:p w14:paraId="3CB588F5" w14:textId="77777777" w:rsidR="001E75C7" w:rsidRDefault="001E75C7" w:rsidP="007A73B3">
      <w:pPr>
        <w:rPr>
          <w:b/>
          <w:bCs/>
          <w:sz w:val="22"/>
          <w:szCs w:val="22"/>
          <w:lang w:val="en-US" w:eastAsia="en-US"/>
        </w:rPr>
      </w:pPr>
    </w:p>
    <w:p w14:paraId="1B53EBE2" w14:textId="77777777" w:rsidR="001E75C7" w:rsidRDefault="001E75C7" w:rsidP="007A73B3">
      <w:pPr>
        <w:rPr>
          <w:b/>
          <w:bCs/>
          <w:sz w:val="22"/>
          <w:szCs w:val="22"/>
          <w:lang w:val="en-US" w:eastAsia="en-US"/>
        </w:rPr>
      </w:pPr>
    </w:p>
    <w:p w14:paraId="67F3A16C" w14:textId="1EB2A7B0" w:rsidR="00935EF4" w:rsidRPr="00935EF4" w:rsidRDefault="007F4B86" w:rsidP="007A73B3">
      <w:pPr>
        <w:rPr>
          <w:b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S</w:t>
      </w:r>
      <w:r w:rsidR="00935EF4" w:rsidRPr="00935EF4">
        <w:rPr>
          <w:b/>
          <w:bCs/>
          <w:sz w:val="22"/>
          <w:szCs w:val="22"/>
          <w:lang w:val="en-US" w:eastAsia="en-US"/>
        </w:rPr>
        <w:t xml:space="preserve">tructure and </w:t>
      </w:r>
      <w:r>
        <w:rPr>
          <w:b/>
          <w:bCs/>
          <w:sz w:val="22"/>
          <w:szCs w:val="22"/>
          <w:lang w:val="en-US" w:eastAsia="en-US"/>
        </w:rPr>
        <w:t>requirements</w:t>
      </w:r>
    </w:p>
    <w:p w14:paraId="08849F7A" w14:textId="0B4D9734" w:rsidR="00935EF4" w:rsidRPr="00935EF4" w:rsidRDefault="00935EF4" w:rsidP="007A73B3">
      <w:pPr>
        <w:spacing w:after="60"/>
        <w:rPr>
          <w:sz w:val="22"/>
          <w:szCs w:val="22"/>
          <w:lang w:val="en-US" w:eastAsia="en-US"/>
        </w:rPr>
      </w:pPr>
      <w:r w:rsidRPr="00935EF4">
        <w:rPr>
          <w:sz w:val="22"/>
          <w:szCs w:val="22"/>
          <w:lang w:val="en-US" w:eastAsia="en-US"/>
        </w:rPr>
        <w:t xml:space="preserve">The course explores two overarching issue areas: natural resources (specifically extractive industries and agriculture) and development/foreign aid. The course </w:t>
      </w:r>
      <w:r w:rsidR="00BA5CAD">
        <w:rPr>
          <w:sz w:val="22"/>
          <w:szCs w:val="22"/>
          <w:lang w:val="en-US" w:eastAsia="en-US"/>
        </w:rPr>
        <w:t>addresses each issue separately</w:t>
      </w:r>
      <w:r w:rsidR="006925B8">
        <w:rPr>
          <w:sz w:val="22"/>
          <w:szCs w:val="22"/>
          <w:lang w:val="en-US" w:eastAsia="en-US"/>
        </w:rPr>
        <w:t xml:space="preserve"> in two distinct blocks</w:t>
      </w:r>
      <w:r w:rsidRPr="00935EF4">
        <w:rPr>
          <w:sz w:val="22"/>
          <w:szCs w:val="22"/>
          <w:lang w:val="en-US" w:eastAsia="en-US"/>
        </w:rPr>
        <w:t xml:space="preserve">, with a final policy-related research paper that </w:t>
      </w:r>
      <w:r w:rsidR="00207F85">
        <w:rPr>
          <w:sz w:val="22"/>
          <w:szCs w:val="22"/>
          <w:lang w:val="en-US" w:eastAsia="en-US"/>
        </w:rPr>
        <w:t>allows you to integrate insights from both areas</w:t>
      </w:r>
      <w:r w:rsidRPr="00935EF4">
        <w:rPr>
          <w:sz w:val="22"/>
          <w:szCs w:val="22"/>
          <w:lang w:val="en-US" w:eastAsia="en-US"/>
        </w:rPr>
        <w:t xml:space="preserve">. </w:t>
      </w:r>
    </w:p>
    <w:p w14:paraId="62E6CCBB" w14:textId="5B6D4DC6" w:rsidR="00935EF4" w:rsidRPr="00935EF4" w:rsidRDefault="00BA5CAD" w:rsidP="007A73B3">
      <w:pPr>
        <w:spacing w:after="6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The course consists of both </w:t>
      </w:r>
      <w:r w:rsidR="00207F85">
        <w:rPr>
          <w:sz w:val="22"/>
          <w:szCs w:val="22"/>
          <w:lang w:val="en-US" w:eastAsia="en-US"/>
        </w:rPr>
        <w:t>lectures and seminars</w:t>
      </w:r>
      <w:r>
        <w:rPr>
          <w:sz w:val="22"/>
          <w:szCs w:val="22"/>
          <w:lang w:val="en-US" w:eastAsia="en-US"/>
        </w:rPr>
        <w:t xml:space="preserve"> largely centered around student presentations</w:t>
      </w:r>
      <w:r w:rsidR="00207F85">
        <w:rPr>
          <w:sz w:val="22"/>
          <w:szCs w:val="22"/>
          <w:lang w:val="en-US" w:eastAsia="en-US"/>
        </w:rPr>
        <w:t xml:space="preserve">. The lectures seek to give an overview of the issues at hand, </w:t>
      </w:r>
      <w:r w:rsidR="0013201A">
        <w:rPr>
          <w:sz w:val="22"/>
          <w:szCs w:val="22"/>
          <w:lang w:val="en-US" w:eastAsia="en-US"/>
        </w:rPr>
        <w:t xml:space="preserve">and the </w:t>
      </w:r>
      <w:r w:rsidR="00207F85">
        <w:rPr>
          <w:sz w:val="22"/>
          <w:szCs w:val="22"/>
          <w:lang w:val="en-US" w:eastAsia="en-US"/>
        </w:rPr>
        <w:t xml:space="preserve">policy approaches that have been </w:t>
      </w:r>
      <w:r w:rsidR="0013201A">
        <w:rPr>
          <w:sz w:val="22"/>
          <w:szCs w:val="22"/>
          <w:lang w:val="en-US" w:eastAsia="en-US"/>
        </w:rPr>
        <w:t xml:space="preserve">put in place to foster economic and social development, building on research from both the academic and policy communities. </w:t>
      </w:r>
      <w:r w:rsidR="006925B8">
        <w:rPr>
          <w:sz w:val="22"/>
          <w:szCs w:val="22"/>
          <w:lang w:val="en-US" w:eastAsia="en-US"/>
        </w:rPr>
        <w:t>The</w:t>
      </w:r>
      <w:r w:rsidR="00935EF4" w:rsidRPr="00935EF4">
        <w:rPr>
          <w:sz w:val="22"/>
          <w:szCs w:val="22"/>
          <w:lang w:val="en-US" w:eastAsia="en-US"/>
        </w:rPr>
        <w:t xml:space="preserve"> </w:t>
      </w:r>
      <w:r w:rsidR="006925B8">
        <w:rPr>
          <w:sz w:val="22"/>
          <w:szCs w:val="22"/>
          <w:lang w:val="en-US" w:eastAsia="en-US"/>
        </w:rPr>
        <w:t xml:space="preserve">course </w:t>
      </w:r>
      <w:r w:rsidR="00935EF4" w:rsidRPr="00935EF4">
        <w:rPr>
          <w:sz w:val="22"/>
          <w:szCs w:val="22"/>
          <w:lang w:val="en-US" w:eastAsia="en-US"/>
        </w:rPr>
        <w:t>consider</w:t>
      </w:r>
      <w:r w:rsidR="006925B8">
        <w:rPr>
          <w:sz w:val="22"/>
          <w:szCs w:val="22"/>
          <w:lang w:val="en-US" w:eastAsia="en-US"/>
        </w:rPr>
        <w:t>s</w:t>
      </w:r>
      <w:r w:rsidR="00935EF4" w:rsidRPr="00935EF4">
        <w:rPr>
          <w:sz w:val="22"/>
          <w:szCs w:val="22"/>
          <w:lang w:val="en-US" w:eastAsia="en-US"/>
        </w:rPr>
        <w:t xml:space="preserve"> matters such </w:t>
      </w:r>
      <w:r w:rsidR="0013201A">
        <w:rPr>
          <w:sz w:val="22"/>
          <w:szCs w:val="22"/>
          <w:lang w:val="en-US" w:eastAsia="en-US"/>
        </w:rPr>
        <w:t xml:space="preserve">how trade in agricultural and mineral products affect and are affected by domestic conditions and institutions, and the implications of this interplay for </w:t>
      </w:r>
      <w:r w:rsidR="00935EF4" w:rsidRPr="00935EF4">
        <w:rPr>
          <w:sz w:val="22"/>
          <w:szCs w:val="22"/>
          <w:lang w:val="en-US" w:eastAsia="en-US"/>
        </w:rPr>
        <w:t>economic development and poverty</w:t>
      </w:r>
      <w:r w:rsidR="0013201A">
        <w:rPr>
          <w:sz w:val="22"/>
          <w:szCs w:val="22"/>
          <w:lang w:val="en-US" w:eastAsia="en-US"/>
        </w:rPr>
        <w:t xml:space="preserve"> alleviation. </w:t>
      </w:r>
      <w:r w:rsidR="00EC1035">
        <w:rPr>
          <w:sz w:val="22"/>
          <w:szCs w:val="22"/>
          <w:lang w:val="en-US" w:eastAsia="en-US"/>
        </w:rPr>
        <w:t xml:space="preserve">On the policy side, we examine the components of the </w:t>
      </w:r>
      <w:r w:rsidR="00935EF4" w:rsidRPr="00935EF4">
        <w:rPr>
          <w:sz w:val="22"/>
          <w:szCs w:val="22"/>
          <w:lang w:val="en-US" w:eastAsia="en-US"/>
        </w:rPr>
        <w:t>international regimes in place</w:t>
      </w:r>
      <w:r w:rsidR="00EC1035">
        <w:rPr>
          <w:sz w:val="22"/>
          <w:szCs w:val="22"/>
          <w:lang w:val="en-US" w:eastAsia="en-US"/>
        </w:rPr>
        <w:t xml:space="preserve">, and the existing evidence regarding whether these polices are having the intended impacts, and </w:t>
      </w:r>
      <w:r w:rsidR="009D7D0B">
        <w:rPr>
          <w:sz w:val="22"/>
          <w:szCs w:val="22"/>
          <w:lang w:val="en-US" w:eastAsia="en-US"/>
        </w:rPr>
        <w:t>if</w:t>
      </w:r>
      <w:r w:rsidR="00EC1035">
        <w:rPr>
          <w:sz w:val="22"/>
          <w:szCs w:val="22"/>
          <w:lang w:val="en-US" w:eastAsia="en-US"/>
        </w:rPr>
        <w:t xml:space="preserve"> any secondary effects have been observed</w:t>
      </w:r>
      <w:r w:rsidR="00935EF4" w:rsidRPr="00935EF4">
        <w:rPr>
          <w:sz w:val="22"/>
          <w:szCs w:val="22"/>
          <w:lang w:val="en-US" w:eastAsia="en-US"/>
        </w:rPr>
        <w:t xml:space="preserve">. </w:t>
      </w:r>
    </w:p>
    <w:p w14:paraId="7465D70C" w14:textId="4ED4AB8E" w:rsidR="0058392F" w:rsidRDefault="00935EF4" w:rsidP="007A73B3">
      <w:pPr>
        <w:spacing w:after="60"/>
        <w:rPr>
          <w:sz w:val="22"/>
          <w:szCs w:val="22"/>
          <w:lang w:val="en-US" w:eastAsia="en-US"/>
        </w:rPr>
      </w:pPr>
      <w:r w:rsidRPr="00935EF4">
        <w:rPr>
          <w:sz w:val="22"/>
          <w:szCs w:val="22"/>
          <w:lang w:val="en-US" w:eastAsia="en-US"/>
        </w:rPr>
        <w:t>Skills linked to each phase in the policy process are introduced and applied in specifi</w:t>
      </w:r>
      <w:r w:rsidR="00EC1035">
        <w:rPr>
          <w:sz w:val="22"/>
          <w:szCs w:val="22"/>
          <w:lang w:val="en-US" w:eastAsia="en-US"/>
        </w:rPr>
        <w:t xml:space="preserve">c problem centered assignments. The aim is that students will engage actively throughout the course and learn from one another as much as from the teachers involved. </w:t>
      </w:r>
      <w:r w:rsidR="006925B8">
        <w:rPr>
          <w:sz w:val="22"/>
          <w:szCs w:val="22"/>
          <w:lang w:val="en-US" w:eastAsia="en-US"/>
        </w:rPr>
        <w:t>Block 1 consists of 3 seminars and block two consists of 2 seminars. S</w:t>
      </w:r>
      <w:r w:rsidR="0058392F">
        <w:rPr>
          <w:sz w:val="22"/>
          <w:szCs w:val="22"/>
          <w:lang w:val="en-US" w:eastAsia="en-US"/>
        </w:rPr>
        <w:t>tudents will write one paper</w:t>
      </w:r>
      <w:r w:rsidR="006925B8">
        <w:rPr>
          <w:sz w:val="22"/>
          <w:szCs w:val="22"/>
          <w:lang w:val="en-US" w:eastAsia="en-US"/>
        </w:rPr>
        <w:t xml:space="preserve"> for each Block</w:t>
      </w:r>
      <w:r w:rsidR="0058392F">
        <w:rPr>
          <w:sz w:val="22"/>
          <w:szCs w:val="22"/>
          <w:lang w:val="en-US" w:eastAsia="en-US"/>
        </w:rPr>
        <w:t xml:space="preserve">. </w:t>
      </w:r>
      <w:r w:rsidR="00B755BC">
        <w:rPr>
          <w:sz w:val="22"/>
          <w:szCs w:val="22"/>
          <w:lang w:val="en-US" w:eastAsia="en-US"/>
        </w:rPr>
        <w:t xml:space="preserve">You </w:t>
      </w:r>
      <w:r w:rsidR="006925B8">
        <w:rPr>
          <w:sz w:val="22"/>
          <w:szCs w:val="22"/>
          <w:lang w:val="en-US" w:eastAsia="en-US"/>
        </w:rPr>
        <w:t xml:space="preserve">are </w:t>
      </w:r>
      <w:r w:rsidR="00B755BC">
        <w:rPr>
          <w:sz w:val="22"/>
          <w:szCs w:val="22"/>
          <w:lang w:val="en-US" w:eastAsia="en-US"/>
        </w:rPr>
        <w:t xml:space="preserve">also expected to participate in the seminar discussion. </w:t>
      </w:r>
    </w:p>
    <w:p w14:paraId="26963CCB" w14:textId="31A41AB1" w:rsidR="00543650" w:rsidRPr="00C4331D" w:rsidRDefault="00067DF8" w:rsidP="007A73B3">
      <w:pPr>
        <w:spacing w:after="6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All students write a paper for the final paper assignment. </w:t>
      </w:r>
      <w:r w:rsidR="00935EF4" w:rsidRPr="00935EF4">
        <w:rPr>
          <w:sz w:val="22"/>
          <w:szCs w:val="22"/>
          <w:lang w:val="en-US" w:eastAsia="en-US"/>
        </w:rPr>
        <w:t xml:space="preserve">The final research paper </w:t>
      </w:r>
      <w:r w:rsidR="005668AE">
        <w:rPr>
          <w:sz w:val="22"/>
          <w:szCs w:val="22"/>
          <w:lang w:val="en-US" w:eastAsia="en-US"/>
        </w:rPr>
        <w:t xml:space="preserve">is larger in scope and requires drawing on the course in its entirety. Please see separate documents for instructions for all of these assignments. </w:t>
      </w:r>
    </w:p>
    <w:p w14:paraId="7F262C43" w14:textId="6C7106E5" w:rsidR="00F73CFC" w:rsidRPr="00C4331D" w:rsidRDefault="00F73CFC" w:rsidP="007A73B3">
      <w:pPr>
        <w:rPr>
          <w:sz w:val="22"/>
          <w:szCs w:val="22"/>
          <w:lang w:val="en-US"/>
        </w:rPr>
      </w:pPr>
    </w:p>
    <w:p w14:paraId="7CD09068" w14:textId="4CC2108E" w:rsidR="00F73CFC" w:rsidRPr="007F4B86" w:rsidRDefault="00941B09" w:rsidP="007A73B3">
      <w:pPr>
        <w:rPr>
          <w:b/>
          <w:sz w:val="22"/>
          <w:szCs w:val="22"/>
          <w:lang w:val="en-US"/>
        </w:rPr>
      </w:pPr>
      <w:r w:rsidRPr="00C4331D">
        <w:rPr>
          <w:b/>
          <w:sz w:val="22"/>
          <w:szCs w:val="22"/>
          <w:lang w:val="en-US"/>
        </w:rPr>
        <w:t>Assignments and grading</w:t>
      </w:r>
    </w:p>
    <w:p w14:paraId="1DFFDA03" w14:textId="1C9AEC71" w:rsidR="002313A9" w:rsidRPr="00C4331D" w:rsidRDefault="002313A9" w:rsidP="007A73B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C4331D">
        <w:rPr>
          <w:sz w:val="22"/>
          <w:szCs w:val="22"/>
          <w:lang w:val="en-US"/>
        </w:rPr>
        <w:t>25</w:t>
      </w:r>
      <w:r w:rsidR="00941B09" w:rsidRPr="00C4331D">
        <w:rPr>
          <w:sz w:val="22"/>
          <w:szCs w:val="22"/>
          <w:lang w:val="en-US"/>
        </w:rPr>
        <w:t xml:space="preserve">% Paper </w:t>
      </w:r>
      <w:r w:rsidRPr="00C4331D">
        <w:rPr>
          <w:sz w:val="22"/>
          <w:szCs w:val="22"/>
          <w:lang w:val="en-US"/>
        </w:rPr>
        <w:t xml:space="preserve">and presentation </w:t>
      </w:r>
      <w:r w:rsidR="00941B09" w:rsidRPr="00C4331D">
        <w:rPr>
          <w:sz w:val="22"/>
          <w:szCs w:val="22"/>
          <w:lang w:val="en-US"/>
        </w:rPr>
        <w:t>1</w:t>
      </w:r>
      <w:r w:rsidR="00C4331D">
        <w:rPr>
          <w:sz w:val="22"/>
          <w:szCs w:val="22"/>
          <w:lang w:val="en-US"/>
        </w:rPr>
        <w:t xml:space="preserve"> (each student will write and present ONE paper for </w:t>
      </w:r>
      <w:r w:rsidR="006925B8">
        <w:rPr>
          <w:sz w:val="22"/>
          <w:szCs w:val="22"/>
          <w:lang w:val="en-US"/>
        </w:rPr>
        <w:t>seminar 1, 2 OR 3</w:t>
      </w:r>
      <w:r w:rsidR="00C4331D">
        <w:rPr>
          <w:sz w:val="22"/>
          <w:szCs w:val="22"/>
          <w:lang w:val="en-US"/>
        </w:rPr>
        <w:t>)</w:t>
      </w:r>
      <w:r w:rsidR="00941B09" w:rsidRPr="00C4331D">
        <w:rPr>
          <w:sz w:val="22"/>
          <w:szCs w:val="22"/>
          <w:lang w:val="en-US"/>
        </w:rPr>
        <w:t xml:space="preserve">: </w:t>
      </w:r>
    </w:p>
    <w:p w14:paraId="643D168F" w14:textId="77777777" w:rsidR="00D7465E" w:rsidRDefault="00941B09" w:rsidP="00D01B5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sz w:val="22"/>
          <w:szCs w:val="22"/>
          <w:lang w:val="en-US"/>
        </w:rPr>
      </w:pPr>
      <w:r w:rsidRPr="00D01B5E">
        <w:rPr>
          <w:sz w:val="22"/>
          <w:szCs w:val="22"/>
          <w:lang w:val="en-US"/>
        </w:rPr>
        <w:t xml:space="preserve">Advocacy paper OR </w:t>
      </w:r>
    </w:p>
    <w:p w14:paraId="49F4A7A6" w14:textId="77777777" w:rsidR="00D7465E" w:rsidRDefault="002313A9" w:rsidP="00D01B5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sz w:val="22"/>
          <w:szCs w:val="22"/>
          <w:lang w:val="en-US"/>
        </w:rPr>
      </w:pPr>
      <w:r w:rsidRPr="00D01B5E">
        <w:rPr>
          <w:sz w:val="22"/>
          <w:szCs w:val="22"/>
          <w:lang w:val="en-US"/>
        </w:rPr>
        <w:t>P</w:t>
      </w:r>
      <w:r w:rsidR="00941B09" w:rsidRPr="00D01B5E">
        <w:rPr>
          <w:sz w:val="22"/>
          <w:szCs w:val="22"/>
          <w:lang w:val="en-US"/>
        </w:rPr>
        <w:t xml:space="preserve">olicy brief on </w:t>
      </w:r>
      <w:r w:rsidR="005B79DB" w:rsidRPr="00D01B5E">
        <w:rPr>
          <w:sz w:val="22"/>
          <w:szCs w:val="22"/>
          <w:lang w:val="en-US"/>
        </w:rPr>
        <w:t xml:space="preserve">anti-corruption conventions </w:t>
      </w:r>
      <w:r w:rsidR="00EF0A4C" w:rsidRPr="00D01B5E">
        <w:rPr>
          <w:sz w:val="22"/>
          <w:szCs w:val="22"/>
          <w:lang w:val="en-US"/>
        </w:rPr>
        <w:t>OR</w:t>
      </w:r>
      <w:r w:rsidR="00941B09" w:rsidRPr="00D01B5E">
        <w:rPr>
          <w:sz w:val="22"/>
          <w:szCs w:val="22"/>
          <w:lang w:val="en-US"/>
        </w:rPr>
        <w:t xml:space="preserve"> </w:t>
      </w:r>
    </w:p>
    <w:p w14:paraId="0EF3B339" w14:textId="2660A0C2" w:rsidR="00941B09" w:rsidRPr="00D01B5E" w:rsidRDefault="00D7465E" w:rsidP="00D01B5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</w:t>
      </w:r>
      <w:r w:rsidR="00EF0A4C" w:rsidRPr="00D01B5E">
        <w:rPr>
          <w:sz w:val="22"/>
          <w:szCs w:val="22"/>
          <w:lang w:val="en-US"/>
        </w:rPr>
        <w:t xml:space="preserve">olicy brief on </w:t>
      </w:r>
      <w:r w:rsidR="00941B09" w:rsidRPr="00D01B5E">
        <w:rPr>
          <w:sz w:val="22"/>
          <w:szCs w:val="22"/>
          <w:lang w:val="en-US"/>
        </w:rPr>
        <w:t>democracy aid</w:t>
      </w:r>
    </w:p>
    <w:p w14:paraId="76F0CE2D" w14:textId="77777777" w:rsidR="002313A9" w:rsidRPr="00C4331D" w:rsidRDefault="002313A9" w:rsidP="007A73B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0F2279E1" w14:textId="3A6605B4" w:rsidR="002313A9" w:rsidRPr="00C4331D" w:rsidRDefault="002313A9" w:rsidP="007A73B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C4331D">
        <w:rPr>
          <w:sz w:val="22"/>
          <w:szCs w:val="22"/>
          <w:lang w:val="en-US"/>
        </w:rPr>
        <w:t>25% Paper and presentation 2</w:t>
      </w:r>
      <w:r w:rsidR="00C4331D">
        <w:rPr>
          <w:sz w:val="22"/>
          <w:szCs w:val="22"/>
          <w:lang w:val="en-US"/>
        </w:rPr>
        <w:t xml:space="preserve"> (each student will write and present ONE paper for </w:t>
      </w:r>
      <w:r w:rsidR="006925B8">
        <w:rPr>
          <w:sz w:val="22"/>
          <w:szCs w:val="22"/>
          <w:lang w:val="en-US"/>
        </w:rPr>
        <w:t xml:space="preserve">seminar 4 OR </w:t>
      </w:r>
      <w:r w:rsidR="00C4331D">
        <w:rPr>
          <w:sz w:val="22"/>
          <w:szCs w:val="22"/>
          <w:lang w:val="en-US"/>
        </w:rPr>
        <w:t>5)</w:t>
      </w:r>
      <w:r w:rsidRPr="00C4331D">
        <w:rPr>
          <w:sz w:val="22"/>
          <w:szCs w:val="22"/>
          <w:lang w:val="en-US"/>
        </w:rPr>
        <w:t xml:space="preserve">: </w:t>
      </w:r>
    </w:p>
    <w:p w14:paraId="087666D4" w14:textId="77777777" w:rsidR="00D7465E" w:rsidRDefault="00EE2268" w:rsidP="00D01B5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sz w:val="22"/>
          <w:szCs w:val="22"/>
          <w:lang w:val="en-US"/>
        </w:rPr>
      </w:pPr>
      <w:r w:rsidRPr="00D01B5E">
        <w:rPr>
          <w:sz w:val="22"/>
          <w:szCs w:val="22"/>
          <w:lang w:val="en-US"/>
        </w:rPr>
        <w:t>De</w:t>
      </w:r>
      <w:r w:rsidR="005B79DB" w:rsidRPr="00D01B5E">
        <w:rPr>
          <w:sz w:val="22"/>
          <w:szCs w:val="22"/>
          <w:lang w:val="en-US"/>
        </w:rPr>
        <w:t>velopment cooperation</w:t>
      </w:r>
      <w:r w:rsidR="002313A9" w:rsidRPr="00D01B5E">
        <w:rPr>
          <w:sz w:val="22"/>
          <w:szCs w:val="22"/>
          <w:lang w:val="en-US"/>
        </w:rPr>
        <w:t xml:space="preserve">: </w:t>
      </w:r>
      <w:r w:rsidR="005B79DB" w:rsidRPr="00D01B5E">
        <w:rPr>
          <w:sz w:val="22"/>
          <w:szCs w:val="22"/>
          <w:lang w:val="en-US"/>
        </w:rPr>
        <w:t>A bird’s-eye view</w:t>
      </w:r>
      <w:r w:rsidR="002313A9" w:rsidRPr="00D01B5E">
        <w:rPr>
          <w:sz w:val="22"/>
          <w:szCs w:val="22"/>
          <w:lang w:val="en-US"/>
        </w:rPr>
        <w:t xml:space="preserve"> OR </w:t>
      </w:r>
    </w:p>
    <w:p w14:paraId="4F07E78A" w14:textId="59FE5F0C" w:rsidR="00941B09" w:rsidRPr="00D01B5E" w:rsidRDefault="009D34BD" w:rsidP="00D01B5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sz w:val="22"/>
          <w:szCs w:val="22"/>
          <w:lang w:val="en-US"/>
        </w:rPr>
      </w:pPr>
      <w:r w:rsidRPr="00D01B5E">
        <w:rPr>
          <w:sz w:val="21"/>
          <w:lang w:val="en-US"/>
        </w:rPr>
        <w:t>Design of Aid Projects</w:t>
      </w:r>
      <w:r w:rsidR="00D7465E">
        <w:rPr>
          <w:sz w:val="21"/>
          <w:lang w:val="en-US"/>
        </w:rPr>
        <w:t>: Project document</w:t>
      </w:r>
    </w:p>
    <w:p w14:paraId="3C143255" w14:textId="4C78C6C5" w:rsidR="00067DF8" w:rsidRPr="00C4331D" w:rsidRDefault="00067DF8" w:rsidP="00D01B5E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5D87A17" w14:textId="77777777" w:rsidR="00F73CFC" w:rsidRPr="00C4331D" w:rsidRDefault="00F73CFC" w:rsidP="007A73B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B325741" w14:textId="77777777" w:rsidR="00941B09" w:rsidRPr="00C4331D" w:rsidRDefault="00941B09" w:rsidP="007A73B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C4331D">
        <w:rPr>
          <w:sz w:val="22"/>
          <w:szCs w:val="22"/>
          <w:lang w:val="en-US"/>
        </w:rPr>
        <w:t xml:space="preserve">40% Research paper </w:t>
      </w:r>
    </w:p>
    <w:p w14:paraId="2927123D" w14:textId="454A14C8" w:rsidR="00941B09" w:rsidRPr="00C4331D" w:rsidRDefault="00941B09" w:rsidP="007A73B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C4331D">
        <w:rPr>
          <w:sz w:val="22"/>
          <w:szCs w:val="22"/>
          <w:lang w:val="en-US"/>
        </w:rPr>
        <w:t xml:space="preserve">10% Presentation </w:t>
      </w:r>
    </w:p>
    <w:p w14:paraId="0515AC0E" w14:textId="77777777" w:rsidR="007F4B86" w:rsidRDefault="007F4B86" w:rsidP="007A73B3">
      <w:pPr>
        <w:rPr>
          <w:b/>
          <w:sz w:val="22"/>
          <w:szCs w:val="22"/>
          <w:lang w:val="en-US"/>
        </w:rPr>
      </w:pPr>
    </w:p>
    <w:p w14:paraId="7920E71C" w14:textId="7EA03190" w:rsidR="00A60DA7" w:rsidRPr="007F4B86" w:rsidRDefault="007F4B86" w:rsidP="007A73B3">
      <w:pPr>
        <w:rPr>
          <w:sz w:val="22"/>
          <w:szCs w:val="22"/>
          <w:lang w:val="en-US"/>
        </w:rPr>
      </w:pPr>
      <w:r w:rsidRPr="007F4B86">
        <w:rPr>
          <w:sz w:val="22"/>
          <w:szCs w:val="22"/>
          <w:lang w:val="en-US"/>
        </w:rPr>
        <w:t xml:space="preserve">All </w:t>
      </w:r>
      <w:r>
        <w:rPr>
          <w:sz w:val="22"/>
          <w:szCs w:val="22"/>
          <w:lang w:val="en-US"/>
        </w:rPr>
        <w:t>assignments will be graded on a scale from 1-7, where 1-2 correspond to Fail, 3-5 to Pass, and 6-7 to High Pass. The course grade is a weighted average of all assignments. To receive a HP for the course, the weighted average must be 5.</w:t>
      </w:r>
      <w:r w:rsidR="00D01B5E">
        <w:rPr>
          <w:sz w:val="22"/>
          <w:szCs w:val="22"/>
          <w:lang w:val="en-US"/>
        </w:rPr>
        <w:t>6</w:t>
      </w:r>
      <w:r>
        <w:rPr>
          <w:sz w:val="22"/>
          <w:szCs w:val="22"/>
          <w:lang w:val="en-US"/>
        </w:rPr>
        <w:t xml:space="preserve"> or above. To Pass the course, you must pass all assignments.</w:t>
      </w:r>
    </w:p>
    <w:p w14:paraId="4C0208BA" w14:textId="77777777" w:rsidR="007F4B86" w:rsidRDefault="007F4B86" w:rsidP="007A73B3">
      <w:pPr>
        <w:rPr>
          <w:b/>
          <w:sz w:val="22"/>
          <w:szCs w:val="22"/>
          <w:lang w:val="en-US"/>
        </w:rPr>
      </w:pPr>
    </w:p>
    <w:p w14:paraId="74C94F0C" w14:textId="2B948ED8" w:rsidR="00A60DA7" w:rsidRPr="00A60DA7" w:rsidRDefault="00A60DA7" w:rsidP="007A73B3">
      <w:pPr>
        <w:rPr>
          <w:sz w:val="22"/>
          <w:szCs w:val="22"/>
          <w:lang w:val="en-US"/>
        </w:rPr>
      </w:pPr>
      <w:r w:rsidRPr="00A60DA7">
        <w:rPr>
          <w:b/>
          <w:bCs/>
          <w:sz w:val="22"/>
          <w:szCs w:val="22"/>
          <w:lang w:val="en-US"/>
        </w:rPr>
        <w:t>Literature</w:t>
      </w:r>
      <w:r w:rsidR="00067DF8">
        <w:rPr>
          <w:b/>
          <w:bCs/>
          <w:sz w:val="22"/>
          <w:szCs w:val="22"/>
          <w:lang w:val="en-US"/>
        </w:rPr>
        <w:t xml:space="preserve"> (books)</w:t>
      </w:r>
      <w:r w:rsidRPr="00A60DA7">
        <w:rPr>
          <w:b/>
          <w:bCs/>
          <w:sz w:val="22"/>
          <w:szCs w:val="22"/>
          <w:lang w:val="en-US"/>
        </w:rPr>
        <w:t xml:space="preserve">: </w:t>
      </w:r>
    </w:p>
    <w:p w14:paraId="63C7747B" w14:textId="45A22006" w:rsidR="005668AE" w:rsidRPr="00A60DA7" w:rsidRDefault="00A60DA7" w:rsidP="007A73B3">
      <w:pPr>
        <w:rPr>
          <w:sz w:val="22"/>
          <w:szCs w:val="22"/>
          <w:lang w:val="en-US"/>
        </w:rPr>
      </w:pPr>
      <w:r w:rsidRPr="00A60DA7">
        <w:rPr>
          <w:sz w:val="22"/>
          <w:szCs w:val="22"/>
          <w:lang w:val="en-US"/>
        </w:rPr>
        <w:t xml:space="preserve">Collier, P. (2008) </w:t>
      </w:r>
      <w:r w:rsidRPr="00A60DA7">
        <w:rPr>
          <w:i/>
          <w:iCs/>
          <w:sz w:val="22"/>
          <w:szCs w:val="22"/>
          <w:lang w:val="en-US"/>
        </w:rPr>
        <w:t xml:space="preserve">The Bottom Billion, </w:t>
      </w:r>
      <w:r w:rsidRPr="00A60DA7">
        <w:rPr>
          <w:sz w:val="22"/>
          <w:szCs w:val="22"/>
          <w:lang w:val="en-US"/>
        </w:rPr>
        <w:t>(paper</w:t>
      </w:r>
      <w:r w:rsidR="006925B8">
        <w:rPr>
          <w:sz w:val="22"/>
          <w:szCs w:val="22"/>
          <w:lang w:val="en-US"/>
        </w:rPr>
        <w:t>back), Oxford University Press.</w:t>
      </w:r>
    </w:p>
    <w:p w14:paraId="7A59258A" w14:textId="77777777" w:rsidR="005668AE" w:rsidRDefault="005668AE" w:rsidP="007A73B3">
      <w:pPr>
        <w:rPr>
          <w:b/>
          <w:sz w:val="22"/>
          <w:szCs w:val="22"/>
          <w:lang w:val="en-US"/>
        </w:rPr>
      </w:pPr>
    </w:p>
    <w:p w14:paraId="1DACB28B" w14:textId="678CF7C9" w:rsidR="005668AE" w:rsidRPr="00067DF8" w:rsidRDefault="005668AE" w:rsidP="007A73B3">
      <w:pPr>
        <w:rPr>
          <w:b/>
          <w:sz w:val="22"/>
          <w:szCs w:val="22"/>
          <w:lang w:val="en-US"/>
        </w:rPr>
      </w:pPr>
      <w:r w:rsidRPr="00067DF8">
        <w:rPr>
          <w:b/>
          <w:sz w:val="22"/>
          <w:szCs w:val="22"/>
          <w:lang w:val="en-US"/>
        </w:rPr>
        <w:t>Instructors involved in the course</w:t>
      </w:r>
    </w:p>
    <w:p w14:paraId="49021D50" w14:textId="50DD91D1" w:rsidR="005668AE" w:rsidRPr="00C4331D" w:rsidRDefault="005668AE" w:rsidP="007A73B3">
      <w:pPr>
        <w:rPr>
          <w:sz w:val="22"/>
          <w:szCs w:val="22"/>
          <w:lang w:val="en-US"/>
        </w:rPr>
      </w:pPr>
      <w:proofErr w:type="spellStart"/>
      <w:r w:rsidRPr="00C4331D">
        <w:rPr>
          <w:sz w:val="22"/>
          <w:szCs w:val="22"/>
          <w:lang w:val="en-US"/>
        </w:rPr>
        <w:t>MGr</w:t>
      </w:r>
      <w:proofErr w:type="spellEnd"/>
      <w:r w:rsidRPr="00C4331D">
        <w:rPr>
          <w:sz w:val="22"/>
          <w:szCs w:val="22"/>
          <w:lang w:val="en-US"/>
        </w:rPr>
        <w:t xml:space="preserve"> – Marcia Grimes</w:t>
      </w:r>
      <w:r w:rsidR="00067DF8">
        <w:rPr>
          <w:sz w:val="22"/>
          <w:szCs w:val="22"/>
          <w:lang w:val="en-US"/>
        </w:rPr>
        <w:t xml:space="preserve"> (course coordinator)</w:t>
      </w:r>
      <w:r>
        <w:rPr>
          <w:sz w:val="22"/>
          <w:szCs w:val="22"/>
          <w:lang w:val="en-US"/>
        </w:rPr>
        <w:tab/>
      </w:r>
      <w:hyperlink r:id="rId7" w:history="1">
        <w:r w:rsidR="0045766C">
          <w:rPr>
            <w:lang w:val="en-US"/>
          </w:rPr>
          <w:t>m</w:t>
        </w:r>
        <w:r w:rsidR="0045766C" w:rsidRPr="0045766C">
          <w:rPr>
            <w:lang w:val="en-US"/>
          </w:rPr>
          <w:t>arcia.grimes@pol.gu.se</w:t>
        </w:r>
      </w:hyperlink>
      <w:r w:rsidR="0045766C">
        <w:rPr>
          <w:sz w:val="22"/>
          <w:szCs w:val="22"/>
          <w:lang w:val="en-US"/>
        </w:rPr>
        <w:tab/>
        <w:t>786 4138</w:t>
      </w:r>
    </w:p>
    <w:p w14:paraId="5F8DE514" w14:textId="37E47F82" w:rsidR="005668AE" w:rsidRPr="004460B0" w:rsidRDefault="00CC68DD" w:rsidP="007A73B3">
      <w:pPr>
        <w:pStyle w:val="BodyTextIndent"/>
        <w:spacing w:line="240" w:lineRule="auto"/>
        <w:jc w:val="both"/>
        <w:rPr>
          <w:sz w:val="22"/>
          <w:szCs w:val="22"/>
        </w:rPr>
      </w:pPr>
      <w:r w:rsidRPr="004460B0">
        <w:rPr>
          <w:sz w:val="22"/>
          <w:szCs w:val="22"/>
        </w:rPr>
        <w:t xml:space="preserve">AL – Anna </w:t>
      </w:r>
      <w:proofErr w:type="spellStart"/>
      <w:r w:rsidRPr="004460B0">
        <w:rPr>
          <w:sz w:val="22"/>
          <w:szCs w:val="22"/>
        </w:rPr>
        <w:t>Lü</w:t>
      </w:r>
      <w:r w:rsidR="005668AE" w:rsidRPr="004460B0">
        <w:rPr>
          <w:sz w:val="22"/>
          <w:szCs w:val="22"/>
        </w:rPr>
        <w:t>hrmann</w:t>
      </w:r>
      <w:proofErr w:type="spellEnd"/>
      <w:r w:rsidR="0045766C" w:rsidRPr="004460B0">
        <w:rPr>
          <w:sz w:val="22"/>
          <w:szCs w:val="22"/>
        </w:rPr>
        <w:tab/>
      </w:r>
      <w:r w:rsidR="0045766C" w:rsidRPr="004460B0">
        <w:rPr>
          <w:sz w:val="22"/>
          <w:szCs w:val="22"/>
        </w:rPr>
        <w:tab/>
        <w:t>anna.luehrmann@v-dem.net</w:t>
      </w:r>
      <w:r w:rsidR="005668AE" w:rsidRPr="004460B0">
        <w:rPr>
          <w:sz w:val="22"/>
          <w:szCs w:val="22"/>
        </w:rPr>
        <w:tab/>
      </w:r>
    </w:p>
    <w:p w14:paraId="09166E58" w14:textId="55385C1E" w:rsidR="007F4B86" w:rsidRDefault="005668AE" w:rsidP="007A73B3">
      <w:pPr>
        <w:rPr>
          <w:rStyle w:val="Hyperlink"/>
          <w:color w:val="000000" w:themeColor="text1"/>
          <w:sz w:val="22"/>
          <w:szCs w:val="22"/>
          <w:u w:val="none"/>
        </w:rPr>
      </w:pPr>
      <w:r w:rsidRPr="004460B0">
        <w:rPr>
          <w:sz w:val="22"/>
          <w:szCs w:val="22"/>
          <w:lang w:eastAsia="en-US"/>
        </w:rPr>
        <w:t>MN – Marina Nistotskaya</w:t>
      </w:r>
      <w:r w:rsidRPr="004460B0">
        <w:rPr>
          <w:sz w:val="22"/>
          <w:szCs w:val="22"/>
          <w:lang w:eastAsia="en-US"/>
        </w:rPr>
        <w:tab/>
      </w:r>
      <w:r w:rsidR="0045766C" w:rsidRPr="004460B0">
        <w:rPr>
          <w:sz w:val="22"/>
          <w:szCs w:val="22"/>
          <w:lang w:eastAsia="en-US"/>
        </w:rPr>
        <w:tab/>
      </w:r>
      <w:hyperlink r:id="rId8" w:history="1">
        <w:r w:rsidR="00B10E43" w:rsidRPr="00CF20BE">
          <w:rPr>
            <w:rStyle w:val="Hyperlink"/>
            <w:sz w:val="22"/>
            <w:szCs w:val="22"/>
          </w:rPr>
          <w:t>marina.nistotskaya@pol.gu.se</w:t>
        </w:r>
      </w:hyperlink>
    </w:p>
    <w:p w14:paraId="0DA9A5BC" w14:textId="08DC12ED" w:rsidR="00B10E43" w:rsidRDefault="00B10E43" w:rsidP="007A73B3">
      <w:pPr>
        <w:rPr>
          <w:rStyle w:val="Hyperlink"/>
          <w:color w:val="000000" w:themeColor="text1"/>
          <w:sz w:val="22"/>
          <w:szCs w:val="22"/>
          <w:u w:val="none"/>
          <w:lang w:val="en-US"/>
        </w:rPr>
      </w:pPr>
      <w:r w:rsidRPr="00B10E43">
        <w:rPr>
          <w:rStyle w:val="Hyperlink"/>
          <w:color w:val="000000" w:themeColor="text1"/>
          <w:sz w:val="22"/>
          <w:szCs w:val="22"/>
          <w:u w:val="none"/>
          <w:lang w:val="en-US"/>
        </w:rPr>
        <w:t xml:space="preserve">AG – </w:t>
      </w:r>
      <w:proofErr w:type="spellStart"/>
      <w:r w:rsidRPr="00B10E43">
        <w:rPr>
          <w:rStyle w:val="Hyperlink"/>
          <w:color w:val="000000" w:themeColor="text1"/>
          <w:sz w:val="22"/>
          <w:szCs w:val="22"/>
          <w:u w:val="none"/>
          <w:lang w:val="en-US"/>
        </w:rPr>
        <w:t>Adea</w:t>
      </w:r>
      <w:proofErr w:type="spellEnd"/>
      <w:r w:rsidRPr="00B10E43">
        <w:rPr>
          <w:rStyle w:val="Hyperlink"/>
          <w:color w:val="000000" w:themeColor="text1"/>
          <w:sz w:val="22"/>
          <w:szCs w:val="22"/>
          <w:u w:val="none"/>
          <w:lang w:val="en-US"/>
        </w:rPr>
        <w:t xml:space="preserve"> </w:t>
      </w:r>
      <w:proofErr w:type="spellStart"/>
      <w:r w:rsidRPr="00B10E43">
        <w:rPr>
          <w:rStyle w:val="Hyperlink"/>
          <w:color w:val="000000" w:themeColor="text1"/>
          <w:sz w:val="22"/>
          <w:szCs w:val="22"/>
          <w:u w:val="none"/>
          <w:lang w:val="en-US"/>
        </w:rPr>
        <w:t>Gafuri</w:t>
      </w:r>
      <w:proofErr w:type="spellEnd"/>
      <w:r w:rsidRPr="00B10E43">
        <w:rPr>
          <w:rStyle w:val="Hyperlink"/>
          <w:color w:val="000000" w:themeColor="text1"/>
          <w:sz w:val="22"/>
          <w:szCs w:val="22"/>
          <w:u w:val="none"/>
          <w:lang w:val="en-US"/>
        </w:rPr>
        <w:tab/>
      </w:r>
      <w:r w:rsidRPr="00B10E43">
        <w:rPr>
          <w:rStyle w:val="Hyperlink"/>
          <w:color w:val="000000" w:themeColor="text1"/>
          <w:sz w:val="22"/>
          <w:szCs w:val="22"/>
          <w:u w:val="none"/>
          <w:lang w:val="en-US"/>
        </w:rPr>
        <w:tab/>
      </w:r>
      <w:hyperlink r:id="rId9" w:history="1">
        <w:r w:rsidR="00D33EDB" w:rsidRPr="004A0B71">
          <w:rPr>
            <w:rStyle w:val="Hyperlink"/>
            <w:sz w:val="22"/>
            <w:szCs w:val="22"/>
            <w:lang w:val="en-US"/>
          </w:rPr>
          <w:t>adea.gafuri@gu.se</w:t>
        </w:r>
      </w:hyperlink>
    </w:p>
    <w:p w14:paraId="3BBA61EE" w14:textId="4ECC5539" w:rsidR="00D33EDB" w:rsidRPr="00B10E43" w:rsidRDefault="00D33EDB" w:rsidP="007A73B3">
      <w:pPr>
        <w:rPr>
          <w:sz w:val="22"/>
          <w:szCs w:val="22"/>
          <w:lang w:val="en-US"/>
        </w:rPr>
      </w:pPr>
      <w:r>
        <w:rPr>
          <w:rStyle w:val="Hyperlink"/>
          <w:color w:val="000000" w:themeColor="text1"/>
          <w:sz w:val="22"/>
          <w:szCs w:val="22"/>
          <w:u w:val="none"/>
          <w:lang w:val="en-US"/>
        </w:rPr>
        <w:t>LW – Lennart Wohlgemuth</w:t>
      </w:r>
      <w:r>
        <w:rPr>
          <w:rStyle w:val="Hyperlink"/>
          <w:color w:val="000000" w:themeColor="text1"/>
          <w:sz w:val="22"/>
          <w:szCs w:val="22"/>
          <w:u w:val="none"/>
          <w:lang w:val="en-US"/>
        </w:rPr>
        <w:tab/>
      </w:r>
    </w:p>
    <w:p w14:paraId="3D7236EE" w14:textId="64BDBD62" w:rsidR="00E2050F" w:rsidRPr="00B10E43" w:rsidRDefault="00E2050F" w:rsidP="007A73B3">
      <w:pPr>
        <w:rPr>
          <w:b/>
          <w:sz w:val="28"/>
          <w:szCs w:val="22"/>
          <w:lang w:val="en-US"/>
        </w:rPr>
      </w:pPr>
    </w:p>
    <w:p w14:paraId="61B21423" w14:textId="77777777" w:rsidR="00E2050F" w:rsidRPr="00B10E43" w:rsidRDefault="00E2050F" w:rsidP="007A73B3">
      <w:pPr>
        <w:rPr>
          <w:b/>
          <w:sz w:val="28"/>
          <w:szCs w:val="22"/>
          <w:lang w:val="en-US"/>
        </w:rPr>
      </w:pPr>
    </w:p>
    <w:p w14:paraId="70F4E60F" w14:textId="77777777" w:rsidR="00D7465E" w:rsidRDefault="00D7465E">
      <w:pPr>
        <w:rPr>
          <w:b/>
          <w:sz w:val="28"/>
          <w:szCs w:val="22"/>
          <w:lang w:val="en-US"/>
        </w:rPr>
      </w:pPr>
      <w:r>
        <w:rPr>
          <w:b/>
          <w:sz w:val="28"/>
          <w:szCs w:val="22"/>
          <w:lang w:val="en-US"/>
        </w:rPr>
        <w:br w:type="page"/>
      </w:r>
    </w:p>
    <w:p w14:paraId="19490348" w14:textId="0E9122E8" w:rsidR="00C4331D" w:rsidRPr="00A16505" w:rsidRDefault="00067DF8" w:rsidP="007A73B3">
      <w:pPr>
        <w:rPr>
          <w:b/>
          <w:sz w:val="28"/>
          <w:szCs w:val="22"/>
          <w:lang w:val="en-US"/>
        </w:rPr>
      </w:pPr>
      <w:r w:rsidRPr="00A16505">
        <w:rPr>
          <w:b/>
          <w:sz w:val="28"/>
          <w:szCs w:val="22"/>
          <w:lang w:val="en-US"/>
        </w:rPr>
        <w:lastRenderedPageBreak/>
        <w:t>Detailed course description</w:t>
      </w:r>
    </w:p>
    <w:p w14:paraId="6A2E58E8" w14:textId="77777777" w:rsidR="00462CEE" w:rsidRDefault="00462CEE" w:rsidP="007A73B3">
      <w:pPr>
        <w:rPr>
          <w:sz w:val="24"/>
          <w:szCs w:val="22"/>
          <w:lang w:val="en-US"/>
        </w:rPr>
      </w:pPr>
    </w:p>
    <w:p w14:paraId="413B27F5" w14:textId="54E18168" w:rsidR="00242B37" w:rsidRPr="00C4331D" w:rsidRDefault="00C4331D" w:rsidP="007A73B3">
      <w:pPr>
        <w:rPr>
          <w:sz w:val="22"/>
          <w:szCs w:val="22"/>
          <w:lang w:val="en-US"/>
        </w:rPr>
      </w:pPr>
      <w:r w:rsidRPr="00A16505">
        <w:rPr>
          <w:sz w:val="24"/>
          <w:szCs w:val="22"/>
          <w:lang w:val="en-US"/>
        </w:rPr>
        <w:t xml:space="preserve">Block 1: </w:t>
      </w:r>
      <w:r w:rsidR="00B54993" w:rsidRPr="00A16505">
        <w:rPr>
          <w:sz w:val="24"/>
          <w:szCs w:val="22"/>
          <w:lang w:val="en-US"/>
        </w:rPr>
        <w:t>Extractive industries and agricultural trade</w:t>
      </w:r>
      <w:r w:rsidRPr="00A16505">
        <w:rPr>
          <w:sz w:val="24"/>
          <w:szCs w:val="22"/>
          <w:lang w:val="en-US"/>
        </w:rPr>
        <w:t>: economic and political implications</w:t>
      </w:r>
      <w:r w:rsidR="00A16505" w:rsidRPr="00A16505">
        <w:rPr>
          <w:sz w:val="24"/>
          <w:szCs w:val="22"/>
          <w:lang w:val="en-US"/>
        </w:rPr>
        <w:t xml:space="preserve"> and i</w:t>
      </w:r>
      <w:r w:rsidR="00B54993" w:rsidRPr="00A16505">
        <w:rPr>
          <w:sz w:val="24"/>
          <w:szCs w:val="22"/>
          <w:lang w:val="en-US"/>
        </w:rPr>
        <w:t xml:space="preserve">nternational </w:t>
      </w:r>
      <w:r w:rsidR="00A16505" w:rsidRPr="00A16505">
        <w:rPr>
          <w:sz w:val="24"/>
          <w:szCs w:val="22"/>
          <w:lang w:val="en-US"/>
        </w:rPr>
        <w:t>policy responses</w:t>
      </w:r>
    </w:p>
    <w:tbl>
      <w:tblPr>
        <w:tblpPr w:leftFromText="180" w:rightFromText="180" w:vertAnchor="text" w:horzAnchor="page" w:tblpX="1412" w:tblpY="151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850"/>
        <w:gridCol w:w="6521"/>
      </w:tblGrid>
      <w:tr w:rsidR="00C4331D" w:rsidRPr="00067DF8" w14:paraId="29EF88A4" w14:textId="77777777" w:rsidTr="00FB44A9">
        <w:trPr>
          <w:trHeight w:val="425"/>
        </w:trPr>
        <w:tc>
          <w:tcPr>
            <w:tcW w:w="779" w:type="dxa"/>
            <w:shd w:val="clear" w:color="auto" w:fill="BFBFBF" w:themeFill="background1" w:themeFillShade="BF"/>
            <w:vAlign w:val="bottom"/>
          </w:tcPr>
          <w:p w14:paraId="67875E79" w14:textId="77777777" w:rsidR="00C4331D" w:rsidRPr="00067DF8" w:rsidRDefault="00C4331D" w:rsidP="007A73B3">
            <w:pPr>
              <w:pStyle w:val="BodyTextIndent"/>
              <w:jc w:val="both"/>
              <w:rPr>
                <w:sz w:val="20"/>
              </w:rPr>
            </w:pPr>
            <w:r w:rsidRPr="00067DF8">
              <w:rPr>
                <w:sz w:val="20"/>
              </w:rPr>
              <w:t>Date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14:paraId="4F40234B" w14:textId="77777777" w:rsidR="00C4331D" w:rsidRPr="00067DF8" w:rsidRDefault="00C4331D" w:rsidP="007A73B3">
            <w:pPr>
              <w:pStyle w:val="BodyTextIndent"/>
              <w:jc w:val="both"/>
              <w:rPr>
                <w:sz w:val="20"/>
              </w:rPr>
            </w:pPr>
            <w:proofErr w:type="spellStart"/>
            <w:r w:rsidRPr="00067DF8">
              <w:rPr>
                <w:sz w:val="20"/>
              </w:rPr>
              <w:t>Time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6A96DE31" w14:textId="2E7125D8" w:rsidR="00C4331D" w:rsidRPr="00067DF8" w:rsidRDefault="005668AE" w:rsidP="007A73B3">
            <w:pPr>
              <w:pStyle w:val="BodyTextIndent"/>
              <w:jc w:val="both"/>
              <w:rPr>
                <w:sz w:val="20"/>
              </w:rPr>
            </w:pPr>
            <w:r w:rsidRPr="00067DF8">
              <w:rPr>
                <w:sz w:val="20"/>
              </w:rPr>
              <w:t>Instr.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bottom"/>
          </w:tcPr>
          <w:p w14:paraId="38D6F7DC" w14:textId="77777777" w:rsidR="00C4331D" w:rsidRPr="00067DF8" w:rsidRDefault="00C4331D" w:rsidP="007A73B3">
            <w:pPr>
              <w:pStyle w:val="BodyTextIndent"/>
              <w:jc w:val="both"/>
              <w:rPr>
                <w:sz w:val="20"/>
              </w:rPr>
            </w:pPr>
            <w:proofErr w:type="spellStart"/>
            <w:r w:rsidRPr="00067DF8">
              <w:rPr>
                <w:sz w:val="20"/>
              </w:rPr>
              <w:t>Topic</w:t>
            </w:r>
            <w:proofErr w:type="spellEnd"/>
          </w:p>
        </w:tc>
      </w:tr>
      <w:tr w:rsidR="00C4331D" w:rsidRPr="00067DF8" w14:paraId="3D1219AE" w14:textId="77777777" w:rsidTr="00FB44A9">
        <w:trPr>
          <w:trHeight w:val="425"/>
        </w:trPr>
        <w:tc>
          <w:tcPr>
            <w:tcW w:w="779" w:type="dxa"/>
            <w:shd w:val="clear" w:color="auto" w:fill="auto"/>
          </w:tcPr>
          <w:p w14:paraId="6559CD9F" w14:textId="7B46FDAC" w:rsidR="00C4331D" w:rsidRPr="00067DF8" w:rsidRDefault="009518E9" w:rsidP="007A73B3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4331D" w:rsidRPr="00067DF8">
              <w:rPr>
                <w:sz w:val="20"/>
              </w:rPr>
              <w:t>/11</w:t>
            </w:r>
          </w:p>
        </w:tc>
        <w:tc>
          <w:tcPr>
            <w:tcW w:w="851" w:type="dxa"/>
            <w:shd w:val="clear" w:color="auto" w:fill="auto"/>
          </w:tcPr>
          <w:p w14:paraId="413248FE" w14:textId="6D737726" w:rsidR="00C4331D" w:rsidRPr="00067DF8" w:rsidRDefault="00C869E4" w:rsidP="007A73B3">
            <w:pPr>
              <w:pStyle w:val="BodyTextInden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r w:rsidR="006D0828">
              <w:rPr>
                <w:sz w:val="20"/>
              </w:rPr>
              <w:t>3</w:t>
            </w:r>
            <w:r>
              <w:rPr>
                <w:sz w:val="20"/>
              </w:rPr>
              <w:t>-1</w:t>
            </w:r>
            <w:r w:rsidR="006D0828">
              <w:rPr>
                <w:sz w:val="20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1271842" w14:textId="77777777" w:rsidR="00C4331D" w:rsidRPr="00067DF8" w:rsidRDefault="00C4331D" w:rsidP="007A73B3">
            <w:pPr>
              <w:pStyle w:val="BodyTextIndent"/>
              <w:jc w:val="both"/>
              <w:rPr>
                <w:sz w:val="20"/>
              </w:rPr>
            </w:pPr>
            <w:proofErr w:type="spellStart"/>
            <w:r w:rsidRPr="00067DF8">
              <w:rPr>
                <w:sz w:val="20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13DA699B" w14:textId="70788CEA" w:rsidR="00C4331D" w:rsidRPr="00067DF8" w:rsidRDefault="005668AE" w:rsidP="007A73B3">
            <w:pPr>
              <w:pStyle w:val="BodyTextIndent"/>
              <w:rPr>
                <w:sz w:val="20"/>
              </w:rPr>
            </w:pPr>
            <w:r w:rsidRPr="00067DF8">
              <w:rPr>
                <w:sz w:val="20"/>
              </w:rPr>
              <w:t xml:space="preserve">Course </w:t>
            </w:r>
            <w:proofErr w:type="spellStart"/>
            <w:r w:rsidRPr="00067DF8">
              <w:rPr>
                <w:sz w:val="20"/>
              </w:rPr>
              <w:t>introduction</w:t>
            </w:r>
            <w:proofErr w:type="spellEnd"/>
          </w:p>
        </w:tc>
      </w:tr>
      <w:tr w:rsidR="009518E9" w:rsidRPr="009518E9" w14:paraId="1910E741" w14:textId="77777777" w:rsidTr="009518E9">
        <w:trPr>
          <w:trHeight w:val="425"/>
        </w:trPr>
        <w:tc>
          <w:tcPr>
            <w:tcW w:w="779" w:type="dxa"/>
            <w:shd w:val="clear" w:color="auto" w:fill="auto"/>
          </w:tcPr>
          <w:p w14:paraId="78B9B8D3" w14:textId="1FFA33F6" w:rsidR="009518E9" w:rsidRPr="00067DF8" w:rsidRDefault="009518E9" w:rsidP="007A73B3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3/11</w:t>
            </w:r>
          </w:p>
        </w:tc>
        <w:tc>
          <w:tcPr>
            <w:tcW w:w="851" w:type="dxa"/>
            <w:shd w:val="clear" w:color="auto" w:fill="auto"/>
          </w:tcPr>
          <w:p w14:paraId="07F473B6" w14:textId="06D1839A" w:rsidR="009518E9" w:rsidRDefault="009518E9" w:rsidP="007A73B3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14-15</w:t>
            </w:r>
            <w:r w:rsidR="0057244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807C6BD" w14:textId="410497DC" w:rsidR="009518E9" w:rsidRDefault="009518E9" w:rsidP="007A73B3">
            <w:pPr>
              <w:pStyle w:val="BodyTextInden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3CD1EB96" w14:textId="77777777" w:rsidR="009518E9" w:rsidRDefault="009518E9" w:rsidP="007A73B3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 agreements and interventions: compliance and effectiveness</w:t>
            </w:r>
          </w:p>
          <w:p w14:paraId="585D5416" w14:textId="77777777" w:rsidR="00E01F45" w:rsidRPr="00E01F45" w:rsidRDefault="00E01F45" w:rsidP="00E01F45">
            <w:pPr>
              <w:widowControl w:val="0"/>
              <w:autoSpaceDE w:val="0"/>
              <w:autoSpaceDN w:val="0"/>
              <w:adjustRightInd w:val="0"/>
              <w:spacing w:after="60"/>
              <w:rPr>
                <w:bCs/>
                <w:lang w:val="en-SE"/>
              </w:rPr>
            </w:pPr>
            <w:r w:rsidRPr="00E01F45">
              <w:rPr>
                <w:bCs/>
                <w:lang w:val="en-SE"/>
              </w:rPr>
              <w:t>Macdonald, Kate. "The politics of norm domestication in private transnational business regulation: A typology and illustrations." </w:t>
            </w:r>
            <w:r w:rsidRPr="00E01F45">
              <w:rPr>
                <w:bCs/>
                <w:i/>
                <w:iCs/>
                <w:lang w:val="en-SE"/>
              </w:rPr>
              <w:t>Environmental Policy and Governance</w:t>
            </w:r>
            <w:r w:rsidRPr="00E01F45">
              <w:rPr>
                <w:bCs/>
                <w:lang w:val="en-SE"/>
              </w:rPr>
              <w:t> (2020).</w:t>
            </w:r>
          </w:p>
          <w:p w14:paraId="23475877" w14:textId="77777777" w:rsidR="00A84D5E" w:rsidRPr="00A84D5E" w:rsidRDefault="00A84D5E" w:rsidP="00A84D5E">
            <w:pPr>
              <w:widowControl w:val="0"/>
              <w:autoSpaceDE w:val="0"/>
              <w:autoSpaceDN w:val="0"/>
              <w:adjustRightInd w:val="0"/>
              <w:spacing w:after="60"/>
              <w:rPr>
                <w:bCs/>
                <w:lang w:val="en-SE"/>
              </w:rPr>
            </w:pPr>
            <w:r w:rsidRPr="00A84D5E">
              <w:rPr>
                <w:bCs/>
                <w:lang w:val="en-SE"/>
              </w:rPr>
              <w:t>Nance, Mark T., and M. Patrick Cottrell. "A turn toward experimentalism? Rethinking security and governance in the twenty-first century." </w:t>
            </w:r>
            <w:r w:rsidRPr="00A84D5E">
              <w:rPr>
                <w:bCs/>
                <w:i/>
                <w:iCs/>
                <w:lang w:val="en-SE"/>
              </w:rPr>
              <w:t>Review of International Studies</w:t>
            </w:r>
            <w:r w:rsidRPr="00A84D5E">
              <w:rPr>
                <w:bCs/>
                <w:lang w:val="en-SE"/>
              </w:rPr>
              <w:t> (2014): 277-301.</w:t>
            </w:r>
          </w:p>
          <w:p w14:paraId="6D600E49" w14:textId="24A7E733" w:rsidR="009B1DBA" w:rsidRPr="009B1DBA" w:rsidRDefault="009B1DBA" w:rsidP="007A73B3">
            <w:pPr>
              <w:widowControl w:val="0"/>
              <w:autoSpaceDE w:val="0"/>
              <w:autoSpaceDN w:val="0"/>
              <w:adjustRightInd w:val="0"/>
              <w:spacing w:after="60"/>
              <w:rPr>
                <w:bCs/>
                <w:lang w:val="en-US"/>
              </w:rPr>
            </w:pPr>
          </w:p>
        </w:tc>
      </w:tr>
      <w:tr w:rsidR="009518E9" w:rsidRPr="00EA0F90" w14:paraId="7735FAEF" w14:textId="77777777" w:rsidTr="0000736D">
        <w:trPr>
          <w:trHeight w:val="425"/>
        </w:trPr>
        <w:tc>
          <w:tcPr>
            <w:tcW w:w="779" w:type="dxa"/>
            <w:shd w:val="clear" w:color="auto" w:fill="auto"/>
          </w:tcPr>
          <w:p w14:paraId="4B487962" w14:textId="34D082AC" w:rsidR="009518E9" w:rsidRPr="006D00AF" w:rsidRDefault="009518E9" w:rsidP="009518E9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067DF8">
              <w:rPr>
                <w:sz w:val="20"/>
              </w:rPr>
              <w:t>/11</w:t>
            </w:r>
          </w:p>
        </w:tc>
        <w:tc>
          <w:tcPr>
            <w:tcW w:w="851" w:type="dxa"/>
            <w:shd w:val="clear" w:color="auto" w:fill="auto"/>
          </w:tcPr>
          <w:p w14:paraId="36657CDF" w14:textId="7ABE3AC6" w:rsidR="009518E9" w:rsidRPr="00067DF8" w:rsidRDefault="009518E9" w:rsidP="009518E9">
            <w:pPr>
              <w:pStyle w:val="BodyTextIndent"/>
              <w:jc w:val="both"/>
              <w:rPr>
                <w:sz w:val="20"/>
              </w:rPr>
            </w:pPr>
            <w:proofErr w:type="gramStart"/>
            <w:r w:rsidRPr="00067DF8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067DF8">
              <w:rPr>
                <w:sz w:val="20"/>
              </w:rPr>
              <w:t>-1</w:t>
            </w:r>
            <w:r>
              <w:rPr>
                <w:sz w:val="20"/>
              </w:rPr>
              <w:t>5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E744070" w14:textId="77777777" w:rsidR="009518E9" w:rsidRPr="00067DF8" w:rsidRDefault="009518E9" w:rsidP="009518E9">
            <w:pPr>
              <w:pStyle w:val="BodyTextIndent"/>
              <w:jc w:val="both"/>
              <w:rPr>
                <w:sz w:val="20"/>
              </w:rPr>
            </w:pPr>
            <w:proofErr w:type="spellStart"/>
            <w:r w:rsidRPr="00067DF8">
              <w:rPr>
                <w:sz w:val="20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7CD90930" w14:textId="77777777" w:rsidR="009518E9" w:rsidRPr="003748C7" w:rsidRDefault="009518E9" w:rsidP="009518E9">
            <w:pPr>
              <w:pStyle w:val="BodyTextIndent"/>
              <w:spacing w:before="60" w:line="240" w:lineRule="auto"/>
              <w:rPr>
                <w:b/>
                <w:sz w:val="20"/>
                <w:lang w:val="en-US"/>
              </w:rPr>
            </w:pPr>
            <w:r w:rsidRPr="003748C7">
              <w:rPr>
                <w:b/>
                <w:sz w:val="20"/>
                <w:lang w:val="en-US"/>
              </w:rPr>
              <w:t>Extractive industries</w:t>
            </w:r>
          </w:p>
          <w:p w14:paraId="2D42640F" w14:textId="77777777" w:rsidR="009518E9" w:rsidRDefault="009518E9" w:rsidP="009518E9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  <w:r w:rsidRPr="00F9342A">
              <w:rPr>
                <w:sz w:val="20"/>
                <w:lang w:val="en-US"/>
              </w:rPr>
              <w:t xml:space="preserve">Auld, Graeme, Michele </w:t>
            </w:r>
            <w:proofErr w:type="spellStart"/>
            <w:r w:rsidRPr="00F9342A">
              <w:rPr>
                <w:sz w:val="20"/>
                <w:lang w:val="en-US"/>
              </w:rPr>
              <w:t>Betsill</w:t>
            </w:r>
            <w:proofErr w:type="spellEnd"/>
            <w:r w:rsidRPr="00F9342A">
              <w:rPr>
                <w:sz w:val="20"/>
                <w:lang w:val="en-US"/>
              </w:rPr>
              <w:t xml:space="preserve">, and Stacy D. </w:t>
            </w:r>
            <w:proofErr w:type="spellStart"/>
            <w:r w:rsidRPr="00F9342A">
              <w:rPr>
                <w:sz w:val="20"/>
                <w:lang w:val="en-US"/>
              </w:rPr>
              <w:t>VanDeveer</w:t>
            </w:r>
            <w:proofErr w:type="spellEnd"/>
            <w:r w:rsidRPr="00F9342A">
              <w:rPr>
                <w:sz w:val="20"/>
                <w:lang w:val="en-US"/>
              </w:rPr>
              <w:t>. "Transnational governance for mining and the mineral lifecycle." Annual Review of Environment and Resources 43 (2018): 425-453.</w:t>
            </w:r>
          </w:p>
          <w:p w14:paraId="67056365" w14:textId="77777777" w:rsidR="009518E9" w:rsidRPr="00CC604F" w:rsidRDefault="009518E9" w:rsidP="009518E9">
            <w:pPr>
              <w:pStyle w:val="BodyTextIndent"/>
              <w:spacing w:before="60" w:line="240" w:lineRule="auto"/>
              <w:rPr>
                <w:sz w:val="20"/>
                <w:szCs w:val="13"/>
                <w:lang w:val="en-US"/>
              </w:rPr>
            </w:pPr>
            <w:proofErr w:type="spellStart"/>
            <w:r w:rsidRPr="00227E4A">
              <w:rPr>
                <w:sz w:val="20"/>
                <w:szCs w:val="13"/>
                <w:lang w:val="en-US"/>
              </w:rPr>
              <w:t>Poncian</w:t>
            </w:r>
            <w:proofErr w:type="spellEnd"/>
            <w:r w:rsidRPr="00227E4A">
              <w:rPr>
                <w:sz w:val="20"/>
                <w:szCs w:val="13"/>
                <w:lang w:val="en-US"/>
              </w:rPr>
              <w:t xml:space="preserve">, </w:t>
            </w:r>
            <w:proofErr w:type="spellStart"/>
            <w:r w:rsidRPr="00227E4A">
              <w:rPr>
                <w:sz w:val="20"/>
                <w:szCs w:val="13"/>
                <w:lang w:val="en-US"/>
              </w:rPr>
              <w:t>Japhace</w:t>
            </w:r>
            <w:proofErr w:type="spellEnd"/>
            <w:r w:rsidRPr="00227E4A">
              <w:rPr>
                <w:sz w:val="20"/>
                <w:szCs w:val="13"/>
                <w:lang w:val="en-US"/>
              </w:rPr>
              <w:t xml:space="preserve">, and Henry Michael </w:t>
            </w:r>
            <w:proofErr w:type="spellStart"/>
            <w:r w:rsidRPr="00227E4A">
              <w:rPr>
                <w:sz w:val="20"/>
                <w:szCs w:val="13"/>
                <w:lang w:val="en-US"/>
              </w:rPr>
              <w:t>Kigodi</w:t>
            </w:r>
            <w:proofErr w:type="spellEnd"/>
            <w:r w:rsidRPr="00227E4A">
              <w:rPr>
                <w:sz w:val="20"/>
                <w:szCs w:val="13"/>
                <w:lang w:val="en-US"/>
              </w:rPr>
              <w:t>. "Transparency initiatives and Tanzania’s extractive industry governance." </w:t>
            </w:r>
            <w:r w:rsidRPr="00CC604F">
              <w:rPr>
                <w:i/>
                <w:iCs/>
                <w:sz w:val="20"/>
                <w:szCs w:val="13"/>
                <w:lang w:val="en-US"/>
              </w:rPr>
              <w:t>Development Studies Research</w:t>
            </w:r>
            <w:r w:rsidRPr="00CC604F">
              <w:rPr>
                <w:sz w:val="20"/>
                <w:szCs w:val="13"/>
                <w:lang w:val="en-US"/>
              </w:rPr>
              <w:t> 5.1 (2018): 106-121.</w:t>
            </w:r>
          </w:p>
          <w:p w14:paraId="54C312A0" w14:textId="77777777" w:rsidR="009518E9" w:rsidRDefault="009518E9" w:rsidP="009518E9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Ross, Michael. 2016. “The Politics of the Resource Curse: A Review.” In Carol Lancaster and Nicolas van de </w:t>
            </w:r>
            <w:proofErr w:type="spellStart"/>
            <w:r>
              <w:rPr>
                <w:sz w:val="20"/>
                <w:lang w:val="en-US"/>
              </w:rPr>
              <w:t>Walle</w:t>
            </w:r>
            <w:proofErr w:type="spellEnd"/>
            <w:r>
              <w:rPr>
                <w:sz w:val="20"/>
                <w:lang w:val="en-US"/>
              </w:rPr>
              <w:t xml:space="preserve"> (eds). </w:t>
            </w:r>
            <w:r w:rsidRPr="00390F84">
              <w:rPr>
                <w:i/>
                <w:sz w:val="20"/>
                <w:lang w:val="en-US"/>
              </w:rPr>
              <w:t>Oxford Handbook of Politics and Development</w:t>
            </w:r>
            <w:r>
              <w:rPr>
                <w:sz w:val="20"/>
                <w:lang w:val="en-US"/>
              </w:rPr>
              <w:t xml:space="preserve">. Oxford: Oxford University Press.  </w:t>
            </w:r>
          </w:p>
          <w:p w14:paraId="5AAE6468" w14:textId="77777777" w:rsidR="009518E9" w:rsidRPr="00F129AF" w:rsidRDefault="009518E9" w:rsidP="009518E9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  <w:r w:rsidRPr="00F129AF">
              <w:rPr>
                <w:sz w:val="20"/>
                <w:lang w:val="en-US"/>
              </w:rPr>
              <w:t xml:space="preserve">Stoop N, </w:t>
            </w:r>
            <w:proofErr w:type="spellStart"/>
            <w:r w:rsidRPr="00F129AF">
              <w:rPr>
                <w:sz w:val="20"/>
                <w:lang w:val="en-US"/>
              </w:rPr>
              <w:t>Verpoorten</w:t>
            </w:r>
            <w:proofErr w:type="spellEnd"/>
            <w:r w:rsidRPr="00F129AF">
              <w:rPr>
                <w:sz w:val="20"/>
                <w:lang w:val="en-US"/>
              </w:rPr>
              <w:t xml:space="preserve"> M, van der </w:t>
            </w:r>
            <w:proofErr w:type="spellStart"/>
            <w:r w:rsidRPr="00F129AF">
              <w:rPr>
                <w:sz w:val="20"/>
                <w:lang w:val="en-US"/>
              </w:rPr>
              <w:t>Windt</w:t>
            </w:r>
            <w:proofErr w:type="spellEnd"/>
            <w:r w:rsidRPr="00F129AF">
              <w:rPr>
                <w:sz w:val="20"/>
                <w:lang w:val="en-US"/>
              </w:rPr>
              <w:t xml:space="preserve"> P (2018) More legislation, more violence? The impact of Dodd-Frank in the DRC. </w:t>
            </w:r>
            <w:proofErr w:type="spellStart"/>
            <w:r w:rsidRPr="00F129AF">
              <w:rPr>
                <w:sz w:val="20"/>
                <w:lang w:val="en-US"/>
              </w:rPr>
              <w:t>PLoS</w:t>
            </w:r>
            <w:proofErr w:type="spellEnd"/>
            <w:r w:rsidRPr="00F129AF">
              <w:rPr>
                <w:sz w:val="20"/>
                <w:lang w:val="en-US"/>
              </w:rPr>
              <w:t xml:space="preserve"> ONE 13 (8): e0201783. </w:t>
            </w:r>
          </w:p>
          <w:p w14:paraId="6F4ED347" w14:textId="77777777" w:rsidR="009518E9" w:rsidRPr="00067DF8" w:rsidRDefault="009518E9" w:rsidP="009518E9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</w:p>
          <w:p w14:paraId="359327C9" w14:textId="77777777" w:rsidR="009518E9" w:rsidRDefault="009518E9" w:rsidP="009518E9">
            <w:pPr>
              <w:pStyle w:val="BodyTextIndent"/>
              <w:spacing w:before="60" w:line="240" w:lineRule="auto"/>
              <w:rPr>
                <w:rStyle w:val="Hyperlink"/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 xml:space="preserve">For interesting report, see: </w:t>
            </w:r>
            <w:r w:rsidRPr="004460B0">
              <w:rPr>
                <w:sz w:val="20"/>
                <w:lang w:val="en-US"/>
              </w:rPr>
              <w:t xml:space="preserve"> </w:t>
            </w:r>
            <w:hyperlink r:id="rId10" w:history="1">
              <w:r w:rsidRPr="00014CF0">
                <w:rPr>
                  <w:rStyle w:val="Hyperlink"/>
                  <w:sz w:val="20"/>
                  <w:lang w:val="en-US"/>
                </w:rPr>
                <w:t>http://www.aljazeera.com/programmes/faultlines/2015/11/conflicted-fight-congo-minerals-151118084541495.html</w:t>
              </w:r>
            </w:hyperlink>
          </w:p>
          <w:p w14:paraId="3E0C4168" w14:textId="7F7E9125" w:rsidR="00B22E35" w:rsidRPr="00067DF8" w:rsidRDefault="00B22E35" w:rsidP="009518E9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</w:p>
        </w:tc>
      </w:tr>
      <w:tr w:rsidR="009518E9" w:rsidRPr="00EA0F90" w14:paraId="3D9C7E36" w14:textId="77777777" w:rsidTr="009518E9">
        <w:trPr>
          <w:trHeight w:val="425"/>
        </w:trPr>
        <w:tc>
          <w:tcPr>
            <w:tcW w:w="779" w:type="dxa"/>
            <w:shd w:val="clear" w:color="auto" w:fill="auto"/>
          </w:tcPr>
          <w:p w14:paraId="7F088C49" w14:textId="176A8967" w:rsidR="009518E9" w:rsidRPr="009518E9" w:rsidRDefault="009518E9" w:rsidP="007A73B3">
            <w:pPr>
              <w:pStyle w:val="BodyTextIndent"/>
              <w:jc w:val="both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5FABB58" w14:textId="5C6A646A" w:rsidR="009518E9" w:rsidRPr="00067DF8" w:rsidRDefault="009518E9" w:rsidP="007A73B3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15-16</w:t>
            </w:r>
          </w:p>
        </w:tc>
        <w:tc>
          <w:tcPr>
            <w:tcW w:w="850" w:type="dxa"/>
            <w:shd w:val="clear" w:color="auto" w:fill="auto"/>
          </w:tcPr>
          <w:p w14:paraId="7EF1C4F4" w14:textId="7172A51F" w:rsidR="009518E9" w:rsidRPr="00067DF8" w:rsidRDefault="009518E9" w:rsidP="007A73B3">
            <w:pPr>
              <w:pStyle w:val="BodyTextIndent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1C1DC85E" w14:textId="5CDAD304" w:rsidR="009518E9" w:rsidRPr="004460B0" w:rsidRDefault="009518E9" w:rsidP="007A73B3">
            <w:pPr>
              <w:widowControl w:val="0"/>
              <w:autoSpaceDE w:val="0"/>
              <w:autoSpaceDN w:val="0"/>
              <w:adjustRightInd w:val="0"/>
              <w:spacing w:after="60"/>
              <w:rPr>
                <w:lang w:val="en-US"/>
              </w:rPr>
            </w:pPr>
            <w:r>
              <w:rPr>
                <w:b/>
                <w:lang w:val="en-US"/>
              </w:rPr>
              <w:t>Instructions for advocacy paper and policy briefs</w:t>
            </w:r>
          </w:p>
        </w:tc>
      </w:tr>
      <w:tr w:rsidR="009518E9" w:rsidRPr="009518E9" w14:paraId="287E8E6A" w14:textId="77777777" w:rsidTr="00FB44A9">
        <w:trPr>
          <w:trHeight w:val="425"/>
        </w:trPr>
        <w:tc>
          <w:tcPr>
            <w:tcW w:w="779" w:type="dxa"/>
            <w:shd w:val="clear" w:color="auto" w:fill="auto"/>
          </w:tcPr>
          <w:p w14:paraId="37A2C312" w14:textId="0FAA8FF1" w:rsidR="009518E9" w:rsidRPr="00067DF8" w:rsidRDefault="009518E9" w:rsidP="007A73B3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Pr="00067DF8">
              <w:rPr>
                <w:sz w:val="20"/>
                <w:lang w:val="en-US"/>
              </w:rPr>
              <w:t>/11</w:t>
            </w:r>
          </w:p>
        </w:tc>
        <w:tc>
          <w:tcPr>
            <w:tcW w:w="851" w:type="dxa"/>
            <w:shd w:val="clear" w:color="auto" w:fill="auto"/>
          </w:tcPr>
          <w:p w14:paraId="7A226121" w14:textId="1807E40E" w:rsidR="009518E9" w:rsidRPr="00067DF8" w:rsidRDefault="009518E9" w:rsidP="007A73B3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13</w:t>
            </w:r>
            <w:r w:rsidRPr="00067DF8">
              <w:rPr>
                <w:sz w:val="20"/>
                <w:lang w:val="en-US"/>
              </w:rPr>
              <w:t>-1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3F515CB" w14:textId="73725664" w:rsidR="009518E9" w:rsidRPr="00067DF8" w:rsidRDefault="009518E9" w:rsidP="007A73B3">
            <w:pPr>
              <w:pStyle w:val="BodyTextIndent"/>
              <w:jc w:val="both"/>
              <w:rPr>
                <w:sz w:val="20"/>
              </w:rPr>
            </w:pPr>
            <w:proofErr w:type="spellStart"/>
            <w:r w:rsidRPr="00067DF8">
              <w:rPr>
                <w:sz w:val="20"/>
                <w:lang w:val="en-US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50D84008" w14:textId="77777777" w:rsidR="009518E9" w:rsidRPr="00067DF8" w:rsidRDefault="009518E9" w:rsidP="002C04CD">
            <w:pPr>
              <w:pStyle w:val="BodyTextIndent"/>
              <w:spacing w:line="24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International anti-corruption policy approaches</w:t>
            </w:r>
          </w:p>
          <w:p w14:paraId="131D645A" w14:textId="77777777" w:rsidR="009518E9" w:rsidRPr="0010585A" w:rsidRDefault="009518E9" w:rsidP="00A20037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  <w:proofErr w:type="spellStart"/>
            <w:r w:rsidRPr="0026245C">
              <w:rPr>
                <w:sz w:val="20"/>
                <w:lang w:val="en-US"/>
              </w:rPr>
              <w:t>Börzel</w:t>
            </w:r>
            <w:proofErr w:type="spellEnd"/>
            <w:r w:rsidRPr="0026245C">
              <w:rPr>
                <w:sz w:val="20"/>
                <w:lang w:val="en-US"/>
              </w:rPr>
              <w:t xml:space="preserve">, Tanja A. and Vera van </w:t>
            </w:r>
            <w:proofErr w:type="spellStart"/>
            <w:r w:rsidRPr="0026245C">
              <w:rPr>
                <w:sz w:val="20"/>
                <w:lang w:val="en-US"/>
              </w:rPr>
              <w:t>Hüllen</w:t>
            </w:r>
            <w:proofErr w:type="spellEnd"/>
            <w:r w:rsidRPr="0026245C">
              <w:rPr>
                <w:sz w:val="20"/>
                <w:lang w:val="en-US"/>
              </w:rPr>
              <w:t xml:space="preserve"> 2014.  </w:t>
            </w:r>
            <w:r w:rsidRPr="0010585A">
              <w:rPr>
                <w:sz w:val="20"/>
                <w:lang w:val="en-US"/>
              </w:rPr>
              <w:t>State-Building and the European Union's Fight against Corruption in the Southern C</w:t>
            </w:r>
            <w:r>
              <w:rPr>
                <w:sz w:val="20"/>
                <w:lang w:val="en-US"/>
              </w:rPr>
              <w:t xml:space="preserve">aucasus: Why Legitimacy Matters. </w:t>
            </w:r>
            <w:r w:rsidRPr="00A20037">
              <w:rPr>
                <w:i/>
                <w:sz w:val="20"/>
                <w:lang w:val="en-US"/>
              </w:rPr>
              <w:t>Governance</w:t>
            </w:r>
            <w:r>
              <w:rPr>
                <w:sz w:val="20"/>
                <w:lang w:val="en-US"/>
              </w:rPr>
              <w:t>. 27(4): 613-634.</w:t>
            </w:r>
          </w:p>
          <w:p w14:paraId="699F8452" w14:textId="77777777" w:rsidR="009518E9" w:rsidRDefault="009518E9" w:rsidP="00F9342A">
            <w:pPr>
              <w:pStyle w:val="BodyTextIndent"/>
              <w:spacing w:before="120" w:after="12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Gilbert, Jo-Anne and J.C. Sharman. 2016. </w:t>
            </w:r>
            <w:r w:rsidRPr="00943FB1">
              <w:rPr>
                <w:sz w:val="20"/>
                <w:lang w:val="en-US"/>
              </w:rPr>
              <w:t>Turning a Blind Eye to Bribery:</w:t>
            </w:r>
            <w:r>
              <w:rPr>
                <w:sz w:val="20"/>
                <w:lang w:val="en-US"/>
              </w:rPr>
              <w:t xml:space="preserve"> Explaining Failures to Comply with the International </w:t>
            </w:r>
            <w:r w:rsidRPr="00943FB1">
              <w:rPr>
                <w:sz w:val="20"/>
                <w:lang w:val="en-US"/>
              </w:rPr>
              <w:t>Anti-corruption Regime</w:t>
            </w:r>
            <w:r>
              <w:rPr>
                <w:sz w:val="20"/>
                <w:lang w:val="en-US"/>
              </w:rPr>
              <w:t xml:space="preserve">. </w:t>
            </w:r>
            <w:r w:rsidRPr="00A20037">
              <w:rPr>
                <w:i/>
                <w:sz w:val="20"/>
                <w:lang w:val="en-US"/>
              </w:rPr>
              <w:t>Political Studies</w:t>
            </w:r>
            <w:r>
              <w:rPr>
                <w:sz w:val="20"/>
                <w:lang w:val="en-US"/>
              </w:rPr>
              <w:t>. 64(1):74-89.</w:t>
            </w:r>
          </w:p>
          <w:p w14:paraId="27A41D66" w14:textId="77777777" w:rsidR="009518E9" w:rsidRPr="00067DF8" w:rsidRDefault="009518E9" w:rsidP="00F9342A">
            <w:pPr>
              <w:pStyle w:val="BodyTextIndent"/>
              <w:spacing w:before="120" w:after="120" w:line="240" w:lineRule="auto"/>
              <w:rPr>
                <w:sz w:val="20"/>
                <w:lang w:val="en-US"/>
              </w:rPr>
            </w:pPr>
            <w:r w:rsidRPr="00F9342A">
              <w:rPr>
                <w:sz w:val="20"/>
                <w:lang w:val="en-US"/>
              </w:rPr>
              <w:t xml:space="preserve">Hafner-Burton, Emilie M., and Christina J. Schneider. The dark side of cooperation: International organizations and member corruption. </w:t>
            </w:r>
            <w:r w:rsidRPr="00CC604F">
              <w:rPr>
                <w:i/>
                <w:iCs/>
                <w:sz w:val="20"/>
                <w:lang w:val="en-US"/>
              </w:rPr>
              <w:t>International Studies Quarterly</w:t>
            </w:r>
            <w:r w:rsidRPr="00F9342A">
              <w:rPr>
                <w:sz w:val="20"/>
                <w:lang w:val="en-US"/>
              </w:rPr>
              <w:t xml:space="preserve"> (2019).</w:t>
            </w:r>
          </w:p>
          <w:p w14:paraId="5E08A333" w14:textId="77777777" w:rsidR="009518E9" w:rsidRPr="00CC604F" w:rsidRDefault="009518E9" w:rsidP="00AC65E0">
            <w:pPr>
              <w:pStyle w:val="BodyTextIndent"/>
              <w:spacing w:before="120" w:after="120" w:line="240" w:lineRule="auto"/>
              <w:rPr>
                <w:sz w:val="20"/>
                <w:lang w:val="en-US"/>
              </w:rPr>
            </w:pPr>
            <w:r w:rsidRPr="00AC65E0">
              <w:rPr>
                <w:sz w:val="20"/>
                <w:lang w:val="en-US"/>
              </w:rPr>
              <w:t xml:space="preserve">Jensen, Nathan M., and Edmund J. </w:t>
            </w:r>
            <w:proofErr w:type="spellStart"/>
            <w:r w:rsidRPr="00AC65E0">
              <w:rPr>
                <w:sz w:val="20"/>
                <w:lang w:val="en-US"/>
              </w:rPr>
              <w:t>Malesky</w:t>
            </w:r>
            <w:proofErr w:type="spellEnd"/>
            <w:r w:rsidRPr="00AC65E0">
              <w:rPr>
                <w:sz w:val="20"/>
                <w:lang w:val="en-US"/>
              </w:rPr>
              <w:t>. Nonstate Actors and Compliance with International Agreements: An Empirical Analysis of the OECD Anti-Bribery Convention.</w:t>
            </w:r>
            <w:r>
              <w:rPr>
                <w:sz w:val="20"/>
                <w:lang w:val="en-US"/>
              </w:rPr>
              <w:t xml:space="preserve"> </w:t>
            </w:r>
            <w:r w:rsidRPr="00CC604F">
              <w:rPr>
                <w:i/>
                <w:iCs/>
                <w:sz w:val="20"/>
                <w:lang w:val="en-US"/>
              </w:rPr>
              <w:t>International Organization</w:t>
            </w:r>
            <w:r w:rsidRPr="00CC604F">
              <w:rPr>
                <w:sz w:val="20"/>
                <w:lang w:val="en-US"/>
              </w:rPr>
              <w:t> 72.1 (2018): 33-69.</w:t>
            </w:r>
          </w:p>
          <w:p w14:paraId="0C69D0DE" w14:textId="77777777" w:rsidR="009518E9" w:rsidRDefault="009518E9" w:rsidP="0091696B">
            <w:pPr>
              <w:pStyle w:val="BodyTextIndent"/>
              <w:spacing w:before="120" w:after="60" w:line="240" w:lineRule="auto"/>
              <w:rPr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Lohaus, Mathis and Ellen </w:t>
            </w:r>
            <w:proofErr w:type="spellStart"/>
            <w:r>
              <w:rPr>
                <w:bCs/>
                <w:sz w:val="20"/>
                <w:lang w:val="en-US"/>
              </w:rPr>
              <w:t>Gutterman</w:t>
            </w:r>
            <w:proofErr w:type="spellEnd"/>
            <w:r w:rsidRPr="006D0828">
              <w:rPr>
                <w:bCs/>
                <w:sz w:val="20"/>
                <w:lang w:val="en-US"/>
              </w:rPr>
              <w:t>.</w:t>
            </w:r>
            <w:r>
              <w:rPr>
                <w:bCs/>
                <w:sz w:val="20"/>
                <w:lang w:val="en-US"/>
              </w:rPr>
              <w:t xml:space="preserve"> Forthcoming. International Efforts to Combat Corruption.</w:t>
            </w:r>
            <w:r w:rsidRPr="006D0828">
              <w:rPr>
                <w:bCs/>
                <w:sz w:val="20"/>
                <w:lang w:val="en-US"/>
              </w:rPr>
              <w:t xml:space="preserve"> In B</w:t>
            </w:r>
            <w:r>
              <w:rPr>
                <w:bCs/>
                <w:sz w:val="20"/>
                <w:lang w:val="en-US"/>
              </w:rPr>
              <w:t xml:space="preserve">auhr, Monika, Andreas </w:t>
            </w:r>
            <w:proofErr w:type="spellStart"/>
            <w:r>
              <w:rPr>
                <w:bCs/>
                <w:sz w:val="20"/>
                <w:lang w:val="en-US"/>
              </w:rPr>
              <w:t>Bågenholm</w:t>
            </w:r>
            <w:proofErr w:type="spellEnd"/>
            <w:r>
              <w:rPr>
                <w:bCs/>
                <w:sz w:val="20"/>
                <w:lang w:val="en-US"/>
              </w:rPr>
              <w:t xml:space="preserve">, Marcia Grimes and Bo Rothstein (eds). </w:t>
            </w:r>
            <w:r w:rsidRPr="006D0828">
              <w:rPr>
                <w:bCs/>
                <w:i/>
                <w:iCs/>
                <w:sz w:val="20"/>
                <w:lang w:val="en-US"/>
              </w:rPr>
              <w:t>Handbook of the Quality of Government</w:t>
            </w:r>
            <w:r>
              <w:rPr>
                <w:bCs/>
                <w:sz w:val="20"/>
                <w:lang w:val="en-US"/>
              </w:rPr>
              <w:t>. Oxford: Oxford University Press. (AVAILABLE ON CANVAS)</w:t>
            </w:r>
          </w:p>
          <w:p w14:paraId="527E995B" w14:textId="77777777" w:rsidR="009518E9" w:rsidRDefault="009518E9" w:rsidP="00C06DA4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</w:p>
          <w:p w14:paraId="5DCE278D" w14:textId="77777777" w:rsidR="009518E9" w:rsidRPr="00067DF8" w:rsidRDefault="009518E9" w:rsidP="00C06DA4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Supplementary reading:</w:t>
            </w:r>
          </w:p>
          <w:p w14:paraId="3C51C851" w14:textId="48D030DA" w:rsidR="009518E9" w:rsidRPr="004460B0" w:rsidRDefault="009518E9" w:rsidP="007A73B3">
            <w:pPr>
              <w:pStyle w:val="BodyTextIndent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lastRenderedPageBreak/>
              <w:t xml:space="preserve">Krasner, Stephen D. and Jeremy M. Weinstein. 2014.  Improving Governance from the Outside In. </w:t>
            </w:r>
            <w:r w:rsidRPr="00067DF8">
              <w:rPr>
                <w:i/>
                <w:sz w:val="20"/>
                <w:lang w:val="en-US"/>
              </w:rPr>
              <w:t xml:space="preserve">Annual Review of Political Science. </w:t>
            </w:r>
            <w:r w:rsidRPr="00067DF8">
              <w:rPr>
                <w:sz w:val="20"/>
                <w:lang w:val="en-US"/>
              </w:rPr>
              <w:t xml:space="preserve">17:123–45.  </w:t>
            </w:r>
          </w:p>
        </w:tc>
      </w:tr>
      <w:tr w:rsidR="009518E9" w:rsidRPr="00EA0F90" w14:paraId="52FE1512" w14:textId="77777777" w:rsidTr="00AF0695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6E391CF4" w14:textId="6DE5763C" w:rsidR="009518E9" w:rsidRDefault="009518E9" w:rsidP="002C04CD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8A1F0" w14:textId="203AB8D8" w:rsidR="009518E9" w:rsidRDefault="009518E9" w:rsidP="002C04CD">
            <w:pPr>
              <w:pStyle w:val="BodyTextInden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15-16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6C092EB4" w14:textId="51F81048" w:rsidR="009518E9" w:rsidRPr="00067DF8" w:rsidRDefault="009518E9" w:rsidP="002C04CD">
            <w:pPr>
              <w:pStyle w:val="BodyTextInden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37FB15A1" w14:textId="77777777" w:rsidR="009518E9" w:rsidRPr="00E61338" w:rsidRDefault="009518E9" w:rsidP="00A20037">
            <w:pPr>
              <w:pStyle w:val="BodyTextIndent"/>
              <w:spacing w:before="60" w:line="240" w:lineRule="auto"/>
              <w:rPr>
                <w:b/>
                <w:bCs/>
                <w:sz w:val="20"/>
                <w:lang w:val="en-US"/>
              </w:rPr>
            </w:pPr>
            <w:r w:rsidRPr="00E61338">
              <w:rPr>
                <w:b/>
                <w:bCs/>
                <w:sz w:val="20"/>
                <w:lang w:val="en-US"/>
              </w:rPr>
              <w:t>Introduction to final paper assignment</w:t>
            </w:r>
          </w:p>
          <w:p w14:paraId="3679A48B" w14:textId="77777777" w:rsidR="00E61338" w:rsidRPr="00067DF8" w:rsidRDefault="00E61338" w:rsidP="00E61338">
            <w:pPr>
              <w:pStyle w:val="BodyTextIndent"/>
              <w:spacing w:after="60" w:line="240" w:lineRule="auto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 xml:space="preserve">Waddington, H., H. White, B. </w:t>
            </w:r>
            <w:proofErr w:type="spellStart"/>
            <w:r w:rsidRPr="00067DF8">
              <w:rPr>
                <w:sz w:val="20"/>
                <w:lang w:val="en-US"/>
              </w:rPr>
              <w:t>Snilstveit</w:t>
            </w:r>
            <w:proofErr w:type="spellEnd"/>
            <w:r w:rsidRPr="00067DF8">
              <w:rPr>
                <w:sz w:val="20"/>
                <w:lang w:val="en-US"/>
              </w:rPr>
              <w:t xml:space="preserve">, J. Garcia </w:t>
            </w:r>
            <w:proofErr w:type="spellStart"/>
            <w:r w:rsidRPr="00067DF8">
              <w:rPr>
                <w:sz w:val="20"/>
                <w:lang w:val="en-US"/>
              </w:rPr>
              <w:t>Hombrados</w:t>
            </w:r>
            <w:proofErr w:type="spellEnd"/>
            <w:r w:rsidRPr="00067DF8">
              <w:rPr>
                <w:sz w:val="20"/>
                <w:lang w:val="en-US"/>
              </w:rPr>
              <w:t xml:space="preserve">, M. </w:t>
            </w:r>
            <w:proofErr w:type="spellStart"/>
            <w:r w:rsidRPr="00067DF8">
              <w:rPr>
                <w:sz w:val="20"/>
                <w:lang w:val="en-US"/>
              </w:rPr>
              <w:t>Vojtkova</w:t>
            </w:r>
            <w:proofErr w:type="spellEnd"/>
            <w:r w:rsidRPr="00067DF8">
              <w:rPr>
                <w:sz w:val="20"/>
                <w:lang w:val="en-US"/>
              </w:rPr>
              <w:t xml:space="preserve">, P. Davies, A. Bhavsar, J. Eyers, T.P. </w:t>
            </w:r>
            <w:proofErr w:type="spellStart"/>
            <w:r w:rsidRPr="00067DF8">
              <w:rPr>
                <w:sz w:val="20"/>
                <w:lang w:val="en-US"/>
              </w:rPr>
              <w:t>Koehlmoos</w:t>
            </w:r>
            <w:proofErr w:type="spellEnd"/>
            <w:r w:rsidRPr="00067DF8">
              <w:rPr>
                <w:sz w:val="20"/>
                <w:lang w:val="en-US"/>
              </w:rPr>
              <w:t xml:space="preserve">, M. </w:t>
            </w:r>
            <w:proofErr w:type="spellStart"/>
            <w:r w:rsidRPr="00067DF8">
              <w:rPr>
                <w:sz w:val="20"/>
                <w:lang w:val="en-US"/>
              </w:rPr>
              <w:t>Petticrew</w:t>
            </w:r>
            <w:proofErr w:type="spellEnd"/>
            <w:r w:rsidRPr="00067DF8">
              <w:rPr>
                <w:sz w:val="20"/>
                <w:lang w:val="en-US"/>
              </w:rPr>
              <w:t xml:space="preserve">, J. C. Valentine and P. </w:t>
            </w:r>
            <w:proofErr w:type="spellStart"/>
            <w:r w:rsidRPr="00067DF8">
              <w:rPr>
                <w:sz w:val="20"/>
                <w:lang w:val="en-US"/>
              </w:rPr>
              <w:t>Tugwell</w:t>
            </w:r>
            <w:proofErr w:type="spellEnd"/>
            <w:r w:rsidRPr="00067DF8">
              <w:rPr>
                <w:sz w:val="20"/>
                <w:lang w:val="en-US"/>
              </w:rPr>
              <w:t xml:space="preserve"> (2012) “How to do a good systematic review of effects in international development: a tool kit” </w:t>
            </w:r>
            <w:r w:rsidRPr="00067DF8">
              <w:rPr>
                <w:i/>
                <w:iCs/>
                <w:sz w:val="20"/>
                <w:lang w:val="en-US"/>
              </w:rPr>
              <w:t xml:space="preserve">Journal of Development Effectiveness </w:t>
            </w:r>
            <w:r w:rsidRPr="00067DF8">
              <w:rPr>
                <w:sz w:val="20"/>
                <w:lang w:val="en-US"/>
              </w:rPr>
              <w:t xml:space="preserve">4(3): 359–387. </w:t>
            </w:r>
          </w:p>
          <w:p w14:paraId="3751AA46" w14:textId="4228F2E5" w:rsidR="00E61338" w:rsidRPr="009518E9" w:rsidRDefault="00E61338" w:rsidP="00A20037">
            <w:pPr>
              <w:pStyle w:val="BodyTextIndent"/>
              <w:spacing w:before="60" w:line="240" w:lineRule="auto"/>
              <w:rPr>
                <w:sz w:val="20"/>
                <w:highlight w:val="lightGray"/>
                <w:lang w:val="en-US"/>
              </w:rPr>
            </w:pPr>
          </w:p>
        </w:tc>
      </w:tr>
      <w:tr w:rsidR="009518E9" w:rsidRPr="002F6391" w14:paraId="220DE9A0" w14:textId="77777777" w:rsidTr="00AF0695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1FFAE21E" w14:textId="6873D87A" w:rsidR="009518E9" w:rsidRDefault="009518E9" w:rsidP="002C04CD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9/11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C14C72" w14:textId="13916998" w:rsidR="009518E9" w:rsidRDefault="009518E9" w:rsidP="002C04CD">
            <w:pPr>
              <w:pStyle w:val="BodyTextInden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10-12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709EB06A" w14:textId="15C31553" w:rsidR="009518E9" w:rsidRPr="00067DF8" w:rsidRDefault="009518E9" w:rsidP="002C04CD">
            <w:pPr>
              <w:pStyle w:val="BodyTextInden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305E3F19" w14:textId="77777777" w:rsidR="009518E9" w:rsidRDefault="00E61338" w:rsidP="00A20037">
            <w:pPr>
              <w:pStyle w:val="BodyTextIndent"/>
              <w:spacing w:before="60" w:line="240" w:lineRule="auto"/>
              <w:rPr>
                <w:b/>
                <w:bCs/>
                <w:sz w:val="20"/>
                <w:lang w:val="en-US"/>
              </w:rPr>
            </w:pPr>
            <w:r w:rsidRPr="00E61338">
              <w:rPr>
                <w:b/>
                <w:bCs/>
                <w:sz w:val="20"/>
                <w:lang w:val="en-US"/>
              </w:rPr>
              <w:t xml:space="preserve">Extractive industries and agriculture – </w:t>
            </w:r>
            <w:r w:rsidR="00E263BB">
              <w:rPr>
                <w:b/>
                <w:bCs/>
                <w:sz w:val="20"/>
                <w:lang w:val="en-US"/>
              </w:rPr>
              <w:t xml:space="preserve">local policy challenges </w:t>
            </w:r>
          </w:p>
          <w:p w14:paraId="4642E977" w14:textId="048B545A" w:rsidR="002F6391" w:rsidRPr="002F6391" w:rsidRDefault="002F6391" w:rsidP="002F6391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Buainain</w:t>
            </w:r>
            <w:proofErr w:type="spellEnd"/>
            <w:r>
              <w:rPr>
                <w:sz w:val="20"/>
                <w:lang w:val="en-US"/>
              </w:rPr>
              <w:t xml:space="preserve"> et al. 2018. “Introduction.” In </w:t>
            </w:r>
            <w:r w:rsidRPr="002F6391">
              <w:rPr>
                <w:i/>
                <w:iCs/>
                <w:sz w:val="20"/>
                <w:lang w:val="en-US"/>
              </w:rPr>
              <w:t>Globalization and Agriculture: Redefining Unequal Development</w:t>
            </w:r>
            <w:r w:rsidRPr="002F6391">
              <w:rPr>
                <w:sz w:val="20"/>
                <w:lang w:val="en-US"/>
              </w:rPr>
              <w:t xml:space="preserve">.  Antônio </w:t>
            </w:r>
            <w:proofErr w:type="spellStart"/>
            <w:r w:rsidRPr="002F6391">
              <w:rPr>
                <w:sz w:val="20"/>
                <w:lang w:val="en-US"/>
              </w:rPr>
              <w:t>Márcio</w:t>
            </w:r>
            <w:proofErr w:type="spellEnd"/>
            <w:r w:rsidRPr="002F6391">
              <w:rPr>
                <w:sz w:val="20"/>
                <w:lang w:val="en-US"/>
              </w:rPr>
              <w:t xml:space="preserve"> </w:t>
            </w:r>
            <w:proofErr w:type="spellStart"/>
            <w:r w:rsidRPr="002F6391">
              <w:rPr>
                <w:sz w:val="20"/>
                <w:lang w:val="en-US"/>
              </w:rPr>
              <w:t>Buainain</w:t>
            </w:r>
            <w:proofErr w:type="spellEnd"/>
            <w:r w:rsidRPr="002F6391">
              <w:rPr>
                <w:sz w:val="20"/>
                <w:lang w:val="en-US"/>
              </w:rPr>
              <w:t>, Miguel Rocha de Sousa, Zander Navarro</w:t>
            </w:r>
            <w:r>
              <w:rPr>
                <w:sz w:val="20"/>
                <w:lang w:val="en-US"/>
              </w:rPr>
              <w:t xml:space="preserve"> (eds.) </w:t>
            </w:r>
            <w:r w:rsidRPr="002F6391">
              <w:rPr>
                <w:sz w:val="20"/>
                <w:lang w:val="en-US"/>
              </w:rPr>
              <w:t>Lanham: Lexington 2018.</w:t>
            </w:r>
            <w:r>
              <w:rPr>
                <w:sz w:val="20"/>
                <w:lang w:val="en-US"/>
              </w:rPr>
              <w:t xml:space="preserve"> Available on Google books.</w:t>
            </w:r>
          </w:p>
          <w:p w14:paraId="25EAB639" w14:textId="77777777" w:rsidR="00A84D5E" w:rsidRPr="00A84D5E" w:rsidRDefault="00A84D5E" w:rsidP="0006109E">
            <w:pPr>
              <w:pStyle w:val="BodyTextIndent"/>
              <w:spacing w:before="60" w:line="240" w:lineRule="auto"/>
              <w:rPr>
                <w:sz w:val="20"/>
                <w:lang w:val="en-SE"/>
              </w:rPr>
            </w:pPr>
            <w:r w:rsidRPr="00A84D5E">
              <w:rPr>
                <w:sz w:val="20"/>
                <w:lang w:val="en-SE"/>
              </w:rPr>
              <w:t>Gustafsson, Maria‐Therese, Roger Merino, and Martin Scurrah. "Domestication of international norms for sustainable resource governance: Elite capture in Peru." </w:t>
            </w:r>
            <w:r w:rsidRPr="00A84D5E">
              <w:rPr>
                <w:i/>
                <w:iCs/>
                <w:sz w:val="20"/>
                <w:lang w:val="en-SE"/>
              </w:rPr>
              <w:t>Environmental Policy and Governance</w:t>
            </w:r>
            <w:r w:rsidRPr="00A84D5E">
              <w:rPr>
                <w:sz w:val="20"/>
                <w:lang w:val="en-SE"/>
              </w:rPr>
              <w:t> (2020).</w:t>
            </w:r>
          </w:p>
          <w:p w14:paraId="07F6FE81" w14:textId="78E22D49" w:rsidR="002F6391" w:rsidRDefault="0006109E" w:rsidP="00A20037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  <w:proofErr w:type="spellStart"/>
            <w:r w:rsidRPr="0006109E">
              <w:rPr>
                <w:sz w:val="20"/>
                <w:lang w:val="en-US"/>
              </w:rPr>
              <w:t>LeBaron</w:t>
            </w:r>
            <w:proofErr w:type="spellEnd"/>
            <w:r w:rsidRPr="0006109E">
              <w:rPr>
                <w:sz w:val="20"/>
                <w:lang w:val="en-US"/>
              </w:rPr>
              <w:t xml:space="preserve">, Genevieve, and Ellie Gore. "Gender and forced </w:t>
            </w:r>
            <w:proofErr w:type="spellStart"/>
            <w:r w:rsidRPr="0006109E">
              <w:rPr>
                <w:sz w:val="20"/>
                <w:lang w:val="en-US"/>
              </w:rPr>
              <w:t>labour</w:t>
            </w:r>
            <w:proofErr w:type="spellEnd"/>
            <w:r w:rsidRPr="0006109E">
              <w:rPr>
                <w:sz w:val="20"/>
                <w:lang w:val="en-US"/>
              </w:rPr>
              <w:t xml:space="preserve">: Understanding the links in global cocoa supply chains." </w:t>
            </w:r>
            <w:r w:rsidRPr="0006109E">
              <w:rPr>
                <w:i/>
                <w:iCs/>
                <w:sz w:val="20"/>
                <w:lang w:val="en-US"/>
              </w:rPr>
              <w:t>The Journal of Development Studies</w:t>
            </w:r>
            <w:r w:rsidRPr="0006109E">
              <w:rPr>
                <w:sz w:val="20"/>
                <w:lang w:val="en-US"/>
              </w:rPr>
              <w:t xml:space="preserve"> 56.6 (2020): 1095-1117.</w:t>
            </w:r>
          </w:p>
          <w:p w14:paraId="17F03C8A" w14:textId="197A8970" w:rsidR="0006109E" w:rsidRDefault="0006109E" w:rsidP="00A20037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  <w:proofErr w:type="spellStart"/>
            <w:r w:rsidRPr="0006109E">
              <w:rPr>
                <w:sz w:val="20"/>
                <w:lang w:val="en-US"/>
              </w:rPr>
              <w:t>Anner</w:t>
            </w:r>
            <w:proofErr w:type="spellEnd"/>
            <w:r w:rsidRPr="0006109E">
              <w:rPr>
                <w:sz w:val="20"/>
                <w:lang w:val="en-US"/>
              </w:rPr>
              <w:t>, Mark. "Corporate social responsibility and freedom of association rights: The precarious quest for legitimacy and control in global supply chains." Politics &amp; Society 40.4 (2012): 609-644.</w:t>
            </w:r>
          </w:p>
          <w:p w14:paraId="0CF75639" w14:textId="45724974" w:rsidR="00923B30" w:rsidRDefault="00923B30" w:rsidP="00A20037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  <w:proofErr w:type="spellStart"/>
            <w:r w:rsidRPr="00923B30">
              <w:rPr>
                <w:sz w:val="20"/>
                <w:lang w:val="en-US"/>
              </w:rPr>
              <w:t>LeBaron</w:t>
            </w:r>
            <w:proofErr w:type="spellEnd"/>
            <w:r w:rsidRPr="00923B30">
              <w:rPr>
                <w:sz w:val="20"/>
                <w:lang w:val="en-US"/>
              </w:rPr>
              <w:t>, Genevieve, and Jane Lister. "Benchmarking global supply chains: the power of the ‘ethical audit’</w:t>
            </w:r>
            <w:r w:rsidR="005E75AD">
              <w:rPr>
                <w:sz w:val="20"/>
                <w:lang w:val="en-US"/>
              </w:rPr>
              <w:t xml:space="preserve"> </w:t>
            </w:r>
            <w:r w:rsidRPr="00923B30">
              <w:rPr>
                <w:sz w:val="20"/>
                <w:lang w:val="en-US"/>
              </w:rPr>
              <w:t>regime." Review of International Studies 41.5 (2015): 905-924.</w:t>
            </w:r>
          </w:p>
          <w:p w14:paraId="1F3495CB" w14:textId="52427EE1" w:rsidR="00923B30" w:rsidRPr="00A84D5E" w:rsidRDefault="00923B30" w:rsidP="00A20037">
            <w:pPr>
              <w:pStyle w:val="BodyTextIndent"/>
              <w:spacing w:before="60" w:line="240" w:lineRule="auto"/>
              <w:rPr>
                <w:sz w:val="20"/>
                <w:lang w:val="en-US"/>
              </w:rPr>
            </w:pPr>
            <w:proofErr w:type="spellStart"/>
            <w:r w:rsidRPr="00923B30">
              <w:rPr>
                <w:sz w:val="20"/>
                <w:lang w:val="en-US"/>
              </w:rPr>
              <w:t>Prapha</w:t>
            </w:r>
            <w:proofErr w:type="spellEnd"/>
            <w:r w:rsidRPr="00923B30">
              <w:rPr>
                <w:sz w:val="20"/>
                <w:lang w:val="en-US"/>
              </w:rPr>
              <w:t xml:space="preserve">, Art, Rachel </w:t>
            </w:r>
            <w:proofErr w:type="spellStart"/>
            <w:r w:rsidRPr="00923B30">
              <w:rPr>
                <w:sz w:val="20"/>
                <w:lang w:val="en-US"/>
              </w:rPr>
              <w:t>Wilshaw</w:t>
            </w:r>
            <w:proofErr w:type="spellEnd"/>
            <w:r w:rsidRPr="00923B30">
              <w:rPr>
                <w:sz w:val="20"/>
                <w:lang w:val="en-US"/>
              </w:rPr>
              <w:t>, and Hana Ivanhoe. "From Risk to Resilience: A good practice guide for food retailers addressing human rights in their supply chains." (2020).</w:t>
            </w:r>
          </w:p>
          <w:p w14:paraId="12E2CE38" w14:textId="57699146" w:rsidR="002F6391" w:rsidRPr="009B1DBA" w:rsidRDefault="002F6391" w:rsidP="00A20037">
            <w:pPr>
              <w:pStyle w:val="BodyTextIndent"/>
              <w:spacing w:before="60" w:line="240" w:lineRule="auto"/>
              <w:rPr>
                <w:sz w:val="20"/>
                <w:highlight w:val="lightGray"/>
                <w:lang w:val="en-US"/>
              </w:rPr>
            </w:pPr>
          </w:p>
        </w:tc>
      </w:tr>
      <w:tr w:rsidR="009518E9" w:rsidRPr="009518E9" w14:paraId="325B2E7F" w14:textId="77777777" w:rsidTr="00AF0695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1A2A3AD2" w14:textId="1AE5D430" w:rsidR="009518E9" w:rsidRPr="00067DF8" w:rsidRDefault="009518E9" w:rsidP="002C04CD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821FE8">
              <w:rPr>
                <w:sz w:val="20"/>
              </w:rPr>
              <w:t>3</w:t>
            </w:r>
            <w:r>
              <w:rPr>
                <w:sz w:val="20"/>
              </w:rPr>
              <w:t>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F5A9C" w14:textId="164C724F" w:rsidR="009518E9" w:rsidRPr="00067DF8" w:rsidRDefault="009518E9" w:rsidP="002C04CD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0C4AAE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40817" w14:textId="38B1DE1B" w:rsidR="009518E9" w:rsidRPr="00067DF8" w:rsidRDefault="009518E9" w:rsidP="002C04CD">
            <w:pPr>
              <w:pStyle w:val="BodyTextIndent"/>
              <w:jc w:val="both"/>
              <w:rPr>
                <w:sz w:val="2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916FFAB" w14:textId="6980A937" w:rsidR="009518E9" w:rsidRPr="000C4AAE" w:rsidRDefault="009518E9" w:rsidP="00A20037">
            <w:pPr>
              <w:pStyle w:val="BodyTextIndent"/>
              <w:spacing w:before="60" w:line="240" w:lineRule="auto"/>
              <w:rPr>
                <w:b/>
                <w:bCs/>
                <w:sz w:val="20"/>
                <w:lang w:val="en-US"/>
              </w:rPr>
            </w:pPr>
            <w:r w:rsidRPr="000C4AAE">
              <w:rPr>
                <w:b/>
                <w:bCs/>
                <w:sz w:val="20"/>
              </w:rPr>
              <w:t xml:space="preserve">Deadline: </w:t>
            </w:r>
            <w:proofErr w:type="spellStart"/>
            <w:r w:rsidRPr="000C4AAE">
              <w:rPr>
                <w:b/>
                <w:bCs/>
                <w:sz w:val="20"/>
              </w:rPr>
              <w:t>Advocacy</w:t>
            </w:r>
            <w:proofErr w:type="spellEnd"/>
            <w:r w:rsidRPr="000C4AAE">
              <w:rPr>
                <w:b/>
                <w:bCs/>
                <w:sz w:val="20"/>
              </w:rPr>
              <w:t xml:space="preserve"> </w:t>
            </w:r>
            <w:proofErr w:type="spellStart"/>
            <w:r w:rsidRPr="000C4AAE">
              <w:rPr>
                <w:b/>
                <w:bCs/>
                <w:sz w:val="20"/>
              </w:rPr>
              <w:t>papers</w:t>
            </w:r>
            <w:proofErr w:type="spellEnd"/>
            <w:r w:rsidRPr="000C4AAE">
              <w:rPr>
                <w:b/>
                <w:bCs/>
                <w:sz w:val="20"/>
              </w:rPr>
              <w:t xml:space="preserve"> </w:t>
            </w:r>
          </w:p>
        </w:tc>
      </w:tr>
      <w:tr w:rsidR="00E244BF" w:rsidRPr="00EA0F90" w14:paraId="0368AF90" w14:textId="77777777" w:rsidTr="00653BB7">
        <w:tc>
          <w:tcPr>
            <w:tcW w:w="779" w:type="dxa"/>
            <w:shd w:val="clear" w:color="auto" w:fill="auto"/>
            <w:vAlign w:val="center"/>
          </w:tcPr>
          <w:p w14:paraId="2F3F8CF1" w14:textId="4A98A8F0" w:rsidR="00E244BF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r w:rsidRPr="00067DF8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067DF8">
              <w:rPr>
                <w:sz w:val="20"/>
              </w:rPr>
              <w:t>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EC8AD" w14:textId="1722F86C" w:rsidR="00E244BF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r w:rsidRPr="00067DF8">
              <w:rPr>
                <w:sz w:val="20"/>
              </w:rPr>
              <w:t>1</w:t>
            </w:r>
            <w:r>
              <w:rPr>
                <w:sz w:val="20"/>
              </w:rPr>
              <w:t>3.00-14.15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35677F" w14:textId="0544A31D" w:rsidR="00E244BF" w:rsidRPr="00067DF8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proofErr w:type="spellStart"/>
            <w:r w:rsidRPr="00067DF8">
              <w:rPr>
                <w:sz w:val="20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39D03406" w14:textId="1C9389DC" w:rsidR="00E244BF" w:rsidRPr="00067DF8" w:rsidRDefault="00E244BF" w:rsidP="00E244BF">
            <w:pPr>
              <w:pStyle w:val="BodyTextIndent"/>
              <w:spacing w:line="240" w:lineRule="auto"/>
              <w:rPr>
                <w:b/>
                <w:sz w:val="20"/>
                <w:lang w:val="en-US"/>
              </w:rPr>
            </w:pPr>
            <w:r w:rsidRPr="00BD7370">
              <w:rPr>
                <w:sz w:val="20"/>
                <w:highlight w:val="lightGray"/>
                <w:lang w:val="en-US"/>
              </w:rPr>
              <w:t>SEMINAR 1</w:t>
            </w:r>
            <w:r w:rsidRPr="004460B0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A</w:t>
            </w:r>
            <w:r w:rsidRPr="004460B0">
              <w:rPr>
                <w:sz w:val="20"/>
                <w:lang w:val="en-US"/>
              </w:rPr>
              <w:t>dvocacy papers</w:t>
            </w:r>
            <w:r>
              <w:rPr>
                <w:sz w:val="20"/>
                <w:lang w:val="en-US"/>
              </w:rPr>
              <w:t>, discussion of policy challenges and solutions - group 1</w:t>
            </w:r>
          </w:p>
        </w:tc>
      </w:tr>
      <w:tr w:rsidR="00E244BF" w:rsidRPr="00E244BF" w14:paraId="10B78D62" w14:textId="77777777" w:rsidTr="00653BB7">
        <w:tc>
          <w:tcPr>
            <w:tcW w:w="779" w:type="dxa"/>
            <w:shd w:val="clear" w:color="auto" w:fill="auto"/>
            <w:vAlign w:val="center"/>
          </w:tcPr>
          <w:p w14:paraId="38303D9D" w14:textId="230845E6" w:rsidR="00E244BF" w:rsidRPr="00067DF8" w:rsidRDefault="00E244BF" w:rsidP="00E244BF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16/11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88A07" w14:textId="41013253" w:rsidR="00E244BF" w:rsidRPr="00067DF8" w:rsidRDefault="00E244BF" w:rsidP="00E244BF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14.30-15.45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93E7CA" w14:textId="5A117EB7" w:rsidR="00E244BF" w:rsidRPr="00067DF8" w:rsidRDefault="00E244BF" w:rsidP="00E244BF">
            <w:pPr>
              <w:pStyle w:val="BodyTextInden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14300188" w14:textId="1BF5F2AD" w:rsidR="00E244BF" w:rsidRPr="00BD7370" w:rsidRDefault="00E244BF" w:rsidP="00E244BF">
            <w:pPr>
              <w:pStyle w:val="BodyTextIndent"/>
              <w:spacing w:line="240" w:lineRule="auto"/>
              <w:rPr>
                <w:sz w:val="20"/>
                <w:highlight w:val="lightGray"/>
                <w:lang w:val="en-US"/>
              </w:rPr>
            </w:pPr>
            <w:r w:rsidRPr="00BD7370">
              <w:rPr>
                <w:sz w:val="20"/>
                <w:highlight w:val="lightGray"/>
                <w:lang w:val="en-US"/>
              </w:rPr>
              <w:t>SEMINAR 1</w:t>
            </w:r>
            <w:r w:rsidRPr="004460B0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group 2</w:t>
            </w:r>
          </w:p>
        </w:tc>
      </w:tr>
      <w:tr w:rsidR="00E244BF" w:rsidRPr="00E244BF" w14:paraId="3B82A188" w14:textId="77777777" w:rsidTr="00653BB7">
        <w:tc>
          <w:tcPr>
            <w:tcW w:w="779" w:type="dxa"/>
            <w:shd w:val="clear" w:color="auto" w:fill="auto"/>
            <w:vAlign w:val="center"/>
          </w:tcPr>
          <w:p w14:paraId="4D21F32F" w14:textId="04CACFC5" w:rsidR="00E244BF" w:rsidRPr="00E244BF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B35A8" w14:textId="21663EE0" w:rsidR="00E244BF" w:rsidRPr="00E244BF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16.0</w:t>
            </w:r>
            <w:r w:rsidR="00ED1D81">
              <w:rPr>
                <w:sz w:val="20"/>
              </w:rPr>
              <w:t>0</w:t>
            </w:r>
            <w:r>
              <w:rPr>
                <w:sz w:val="20"/>
              </w:rPr>
              <w:t>-17.0</w:t>
            </w:r>
            <w:r w:rsidR="00ED1D81"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630DE" w14:textId="58BEBD4D" w:rsidR="00E244BF" w:rsidRPr="00E244BF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754D8F62" w14:textId="0D106133" w:rsidR="00E244BF" w:rsidRPr="00E61338" w:rsidRDefault="00E244BF" w:rsidP="00E244BF">
            <w:pPr>
              <w:pStyle w:val="BodyTextIndent"/>
              <w:spacing w:line="240" w:lineRule="auto"/>
              <w:rPr>
                <w:sz w:val="20"/>
                <w:highlight w:val="lightGray"/>
                <w:lang w:val="en-US"/>
              </w:rPr>
            </w:pPr>
            <w:r w:rsidRPr="00E61338">
              <w:rPr>
                <w:sz w:val="20"/>
                <w:highlight w:val="lightGray"/>
                <w:lang w:val="en-US"/>
              </w:rPr>
              <w:t>SEMINAR</w:t>
            </w:r>
            <w:r>
              <w:rPr>
                <w:sz w:val="20"/>
                <w:lang w:val="en-US"/>
              </w:rPr>
              <w:t xml:space="preserve"> 1: online group</w:t>
            </w:r>
          </w:p>
        </w:tc>
      </w:tr>
      <w:tr w:rsidR="00E244BF" w:rsidRPr="009518E9" w14:paraId="2A55139B" w14:textId="77777777" w:rsidTr="00AF0695">
        <w:trPr>
          <w:trHeight w:val="309"/>
        </w:trPr>
        <w:tc>
          <w:tcPr>
            <w:tcW w:w="779" w:type="dxa"/>
            <w:shd w:val="clear" w:color="auto" w:fill="auto"/>
          </w:tcPr>
          <w:p w14:paraId="49588A0F" w14:textId="5F8556A0" w:rsidR="00E244BF" w:rsidRPr="00067DF8" w:rsidRDefault="00E244BF" w:rsidP="00E244BF">
            <w:pPr>
              <w:pStyle w:val="BodyTextIndent"/>
              <w:jc w:val="both"/>
              <w:rPr>
                <w:sz w:val="20"/>
              </w:rPr>
            </w:pPr>
            <w:r w:rsidRPr="00067DF8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7</w:t>
            </w:r>
            <w:r w:rsidRPr="00067DF8">
              <w:rPr>
                <w:sz w:val="20"/>
                <w:lang w:val="en-US"/>
              </w:rPr>
              <w:t>/11</w:t>
            </w:r>
          </w:p>
        </w:tc>
        <w:tc>
          <w:tcPr>
            <w:tcW w:w="851" w:type="dxa"/>
            <w:shd w:val="clear" w:color="auto" w:fill="auto"/>
          </w:tcPr>
          <w:p w14:paraId="64B52F4C" w14:textId="213885F3" w:rsidR="00E244BF" w:rsidRPr="00067DF8" w:rsidRDefault="00E244BF" w:rsidP="00E244BF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10-12</w:t>
            </w:r>
          </w:p>
        </w:tc>
        <w:tc>
          <w:tcPr>
            <w:tcW w:w="850" w:type="dxa"/>
            <w:shd w:val="clear" w:color="auto" w:fill="auto"/>
          </w:tcPr>
          <w:p w14:paraId="15E46C40" w14:textId="785244C0" w:rsidR="00E244BF" w:rsidRPr="00067DF8" w:rsidRDefault="00E244BF" w:rsidP="00E244BF">
            <w:pPr>
              <w:pStyle w:val="BodyTextIndent"/>
              <w:jc w:val="both"/>
              <w:rPr>
                <w:sz w:val="20"/>
              </w:rPr>
            </w:pPr>
            <w:r w:rsidRPr="00067DF8">
              <w:rPr>
                <w:sz w:val="20"/>
                <w:lang w:val="en-US"/>
              </w:rPr>
              <w:t>AL</w:t>
            </w:r>
            <w:r>
              <w:rPr>
                <w:sz w:val="20"/>
                <w:lang w:val="en-US"/>
              </w:rPr>
              <w:t xml:space="preserve"> (on zoom)</w:t>
            </w:r>
          </w:p>
        </w:tc>
        <w:tc>
          <w:tcPr>
            <w:tcW w:w="6521" w:type="dxa"/>
            <w:shd w:val="clear" w:color="auto" w:fill="auto"/>
          </w:tcPr>
          <w:p w14:paraId="176D0D60" w14:textId="77777777" w:rsidR="00E244BF" w:rsidRPr="00067DF8" w:rsidRDefault="00E244BF" w:rsidP="00E244BF">
            <w:pPr>
              <w:pStyle w:val="BodyTextIndent"/>
              <w:spacing w:line="240" w:lineRule="auto"/>
              <w:rPr>
                <w:b/>
                <w:sz w:val="20"/>
                <w:lang w:val="en-US"/>
              </w:rPr>
            </w:pPr>
            <w:r w:rsidRPr="00067DF8">
              <w:rPr>
                <w:b/>
                <w:sz w:val="20"/>
                <w:lang w:val="en-US"/>
              </w:rPr>
              <w:t>Democracy aid</w:t>
            </w:r>
          </w:p>
          <w:p w14:paraId="0F5DB882" w14:textId="77777777" w:rsidR="00E244BF" w:rsidRPr="00067DF8" w:rsidRDefault="00E244BF" w:rsidP="00E244BF">
            <w:pPr>
              <w:pStyle w:val="BodyTextIndent"/>
              <w:spacing w:line="240" w:lineRule="auto"/>
              <w:rPr>
                <w:b/>
                <w:sz w:val="20"/>
                <w:lang w:val="en-US"/>
              </w:rPr>
            </w:pPr>
            <w:r w:rsidRPr="00067DF8">
              <w:rPr>
                <w:b/>
                <w:sz w:val="20"/>
                <w:lang w:val="en-US"/>
              </w:rPr>
              <w:t>Democracy aid</w:t>
            </w:r>
            <w:r>
              <w:rPr>
                <w:b/>
                <w:sz w:val="20"/>
                <w:lang w:val="en-US"/>
              </w:rPr>
              <w:t xml:space="preserve"> – The practice and allocation strategies</w:t>
            </w:r>
          </w:p>
          <w:p w14:paraId="197BF985" w14:textId="4155619E" w:rsidR="00E244BF" w:rsidRPr="009E5727" w:rsidRDefault="00E244BF" w:rsidP="00E244BF">
            <w:pPr>
              <w:pStyle w:val="BodyTextIndent"/>
              <w:spacing w:after="120" w:line="240" w:lineRule="auto"/>
              <w:rPr>
                <w:sz w:val="20"/>
                <w:lang w:val="en-US"/>
              </w:rPr>
            </w:pPr>
            <w:r w:rsidRPr="00813733">
              <w:rPr>
                <w:sz w:val="20"/>
                <w:lang w:val="en-US"/>
              </w:rPr>
              <w:t>Bush, S. 2015. </w:t>
            </w:r>
            <w:r w:rsidRPr="00813733">
              <w:rPr>
                <w:i/>
                <w:iCs/>
                <w:sz w:val="20"/>
                <w:lang w:val="en-US"/>
              </w:rPr>
              <w:t>The Taming of Democracy Assistance: Why Democracy Promotion Does Not Confront Dictators</w:t>
            </w:r>
            <w:r w:rsidRPr="00813733">
              <w:rPr>
                <w:sz w:val="20"/>
                <w:lang w:val="en-US"/>
              </w:rPr>
              <w:t>. Cambridge: Cambridge University Press. Chapter 3 “Tame democracy assistance: what it is and why it matters”</w:t>
            </w:r>
            <w:r>
              <w:rPr>
                <w:sz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lang w:val="en-US"/>
              </w:rPr>
              <w:t>fulltext</w:t>
            </w:r>
            <w:proofErr w:type="spellEnd"/>
            <w:r>
              <w:rPr>
                <w:sz w:val="20"/>
                <w:lang w:val="en-US"/>
              </w:rPr>
              <w:t xml:space="preserve"> available through UB)</w:t>
            </w:r>
          </w:p>
          <w:p w14:paraId="44200FD3" w14:textId="77777777" w:rsidR="00E244BF" w:rsidRDefault="00E244BF" w:rsidP="00E244BF">
            <w:pPr>
              <w:pStyle w:val="BodyTextIndent"/>
              <w:spacing w:after="120" w:line="240" w:lineRule="auto"/>
              <w:rPr>
                <w:sz w:val="20"/>
                <w:lang w:val="en-US"/>
              </w:rPr>
            </w:pPr>
            <w:proofErr w:type="spellStart"/>
            <w:r w:rsidRPr="00511B37">
              <w:rPr>
                <w:sz w:val="20"/>
                <w:lang w:val="en-US"/>
              </w:rPr>
              <w:t>Dodsworth</w:t>
            </w:r>
            <w:proofErr w:type="spellEnd"/>
            <w:r w:rsidRPr="00511B37">
              <w:rPr>
                <w:sz w:val="20"/>
                <w:lang w:val="en-US"/>
              </w:rPr>
              <w:t xml:space="preserve">, Susan and Nic Cheeseman 2016 More than ideology, more than elections – A strategic approach to supporting sister-parties. Westminster Foundation for Democracy/DPIR. Available at: </w:t>
            </w:r>
            <w:hyperlink r:id="rId11" w:history="1">
              <w:r w:rsidRPr="00511B37">
                <w:rPr>
                  <w:rStyle w:val="Hyperlink"/>
                  <w:sz w:val="20"/>
                  <w:lang w:val="en-US"/>
                </w:rPr>
                <w:t>http://www.wfd.org/wp-content/uploads/2016/10/westminster-foundation-for-democracy-a-strategic-approach-to-supporting-sister-parties-final.pdf</w:t>
              </w:r>
            </w:hyperlink>
            <w:r w:rsidRPr="00665573">
              <w:rPr>
                <w:sz w:val="20"/>
                <w:lang w:val="en-US"/>
              </w:rPr>
              <w:t xml:space="preserve"> </w:t>
            </w:r>
          </w:p>
          <w:p w14:paraId="1D0BE773" w14:textId="77777777" w:rsidR="00E244BF" w:rsidRPr="00067DF8" w:rsidRDefault="00E244BF" w:rsidP="00E244BF">
            <w:pPr>
              <w:pStyle w:val="BodyTextIndent"/>
              <w:spacing w:after="120" w:line="240" w:lineRule="auto"/>
              <w:rPr>
                <w:sz w:val="20"/>
                <w:lang w:val="en-US"/>
              </w:rPr>
            </w:pPr>
            <w:bookmarkStart w:id="0" w:name="_ENREF_31"/>
            <w:proofErr w:type="spellStart"/>
            <w:r w:rsidRPr="00067DF8">
              <w:rPr>
                <w:sz w:val="20"/>
                <w:lang w:val="en-US"/>
              </w:rPr>
              <w:t>Tolstrup</w:t>
            </w:r>
            <w:proofErr w:type="spellEnd"/>
            <w:r w:rsidRPr="00067DF8">
              <w:rPr>
                <w:sz w:val="20"/>
                <w:lang w:val="en-US"/>
              </w:rPr>
              <w:t xml:space="preserve">, Jakob. 2014. External Influence and Democratization: Gatekeepers and Linkages. </w:t>
            </w:r>
            <w:r w:rsidRPr="00067DF8">
              <w:rPr>
                <w:i/>
                <w:sz w:val="20"/>
                <w:lang w:val="en-US"/>
              </w:rPr>
              <w:t xml:space="preserve">Journal of Democracy </w:t>
            </w:r>
            <w:r w:rsidRPr="00067DF8">
              <w:rPr>
                <w:sz w:val="20"/>
                <w:lang w:val="en-US"/>
              </w:rPr>
              <w:t>(25) 4: 126-38.</w:t>
            </w:r>
            <w:bookmarkEnd w:id="0"/>
          </w:p>
          <w:p w14:paraId="6CBAD96D" w14:textId="77777777" w:rsidR="00E244BF" w:rsidRPr="00067DF8" w:rsidRDefault="00E244BF" w:rsidP="00E244BF">
            <w:pPr>
              <w:pStyle w:val="BodyTextIndent"/>
              <w:spacing w:line="240" w:lineRule="auto"/>
              <w:rPr>
                <w:sz w:val="20"/>
                <w:lang w:val="en-US"/>
              </w:rPr>
            </w:pPr>
          </w:p>
          <w:p w14:paraId="573422B5" w14:textId="77777777" w:rsidR="00E244BF" w:rsidRPr="00067DF8" w:rsidRDefault="00E244BF" w:rsidP="00E244BF">
            <w:pPr>
              <w:pStyle w:val="BodyTextIndent"/>
              <w:spacing w:line="240" w:lineRule="auto"/>
              <w:rPr>
                <w:i/>
                <w:sz w:val="20"/>
                <w:lang w:val="en-US"/>
              </w:rPr>
            </w:pPr>
            <w:r w:rsidRPr="00067DF8">
              <w:rPr>
                <w:i/>
                <w:sz w:val="20"/>
                <w:lang w:val="en-US"/>
              </w:rPr>
              <w:t>Supplementary reading</w:t>
            </w:r>
          </w:p>
          <w:p w14:paraId="06245A31" w14:textId="77777777" w:rsidR="00E244BF" w:rsidRDefault="00E244BF" w:rsidP="00E244BF">
            <w:pPr>
              <w:pStyle w:val="BodyTextIndent"/>
              <w:spacing w:after="60" w:line="240" w:lineRule="auto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 xml:space="preserve">Carothers, Thomas. 2015. Democracy Aid at 25: Time to Choose. </w:t>
            </w:r>
            <w:r w:rsidRPr="00067DF8">
              <w:rPr>
                <w:i/>
                <w:sz w:val="20"/>
                <w:lang w:val="en-US"/>
              </w:rPr>
              <w:t>Journal of Democracy</w:t>
            </w:r>
            <w:r w:rsidRPr="00067DF8">
              <w:rPr>
                <w:sz w:val="20"/>
                <w:lang w:val="en-US"/>
              </w:rPr>
              <w:t xml:space="preserve"> 26(1): 59-73</w:t>
            </w:r>
          </w:p>
          <w:p w14:paraId="3BA4B483" w14:textId="77777777" w:rsidR="00E244BF" w:rsidRDefault="00E244BF" w:rsidP="00E244BF">
            <w:pPr>
              <w:pStyle w:val="BodyTextIndent"/>
              <w:rPr>
                <w:sz w:val="20"/>
                <w:lang w:val="en-US"/>
              </w:rPr>
            </w:pPr>
            <w:proofErr w:type="spellStart"/>
            <w:r w:rsidRPr="00067DF8">
              <w:rPr>
                <w:sz w:val="20"/>
                <w:lang w:val="en-US"/>
              </w:rPr>
              <w:t>Zulueta-Fülscher</w:t>
            </w:r>
            <w:proofErr w:type="spellEnd"/>
            <w:r w:rsidRPr="00067DF8">
              <w:rPr>
                <w:sz w:val="20"/>
                <w:lang w:val="en-US"/>
              </w:rPr>
              <w:t xml:space="preserve">, </w:t>
            </w:r>
            <w:proofErr w:type="spellStart"/>
            <w:r w:rsidRPr="00067DF8">
              <w:rPr>
                <w:sz w:val="20"/>
                <w:lang w:val="en-US"/>
              </w:rPr>
              <w:t>Kimana</w:t>
            </w:r>
            <w:proofErr w:type="spellEnd"/>
            <w:r w:rsidRPr="00067DF8">
              <w:rPr>
                <w:sz w:val="20"/>
                <w:lang w:val="en-US"/>
              </w:rPr>
              <w:t xml:space="preserve">. 2016. Democracy-Support Effectiveness in “Fragile States”: A Review. </w:t>
            </w:r>
            <w:r w:rsidRPr="00067DF8">
              <w:rPr>
                <w:i/>
                <w:sz w:val="20"/>
                <w:lang w:val="en-US"/>
              </w:rPr>
              <w:t xml:space="preserve">International Studies Review. </w:t>
            </w:r>
            <w:r w:rsidRPr="00067DF8">
              <w:rPr>
                <w:sz w:val="20"/>
                <w:lang w:val="en-US"/>
              </w:rPr>
              <w:t>16(1): 29-49.</w:t>
            </w:r>
          </w:p>
          <w:p w14:paraId="77198D77" w14:textId="78B9EA48" w:rsidR="00E244BF" w:rsidRPr="009518E9" w:rsidRDefault="00E244BF" w:rsidP="00E244BF">
            <w:pPr>
              <w:pStyle w:val="BodyTextIndent"/>
              <w:rPr>
                <w:sz w:val="20"/>
                <w:lang w:val="en-US"/>
              </w:rPr>
            </w:pPr>
          </w:p>
        </w:tc>
      </w:tr>
      <w:tr w:rsidR="00E244BF" w:rsidRPr="00CB233B" w14:paraId="7625D711" w14:textId="77777777" w:rsidTr="00653BB7">
        <w:trPr>
          <w:trHeight w:val="668"/>
        </w:trPr>
        <w:tc>
          <w:tcPr>
            <w:tcW w:w="779" w:type="dxa"/>
            <w:shd w:val="clear" w:color="auto" w:fill="auto"/>
          </w:tcPr>
          <w:p w14:paraId="7AAA505A" w14:textId="559DBD35" w:rsidR="00E244BF" w:rsidRPr="00067DF8" w:rsidRDefault="00E244BF" w:rsidP="00E244BF">
            <w:pPr>
              <w:pStyle w:val="BodyTextIndent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18</w:t>
            </w:r>
            <w:r w:rsidRPr="00067DF8">
              <w:rPr>
                <w:sz w:val="20"/>
                <w:lang w:val="en-US"/>
              </w:rPr>
              <w:t>/11</w:t>
            </w:r>
          </w:p>
        </w:tc>
        <w:tc>
          <w:tcPr>
            <w:tcW w:w="851" w:type="dxa"/>
            <w:shd w:val="clear" w:color="auto" w:fill="auto"/>
          </w:tcPr>
          <w:p w14:paraId="72D98D58" w14:textId="72038432" w:rsidR="00E244BF" w:rsidRPr="00067DF8" w:rsidRDefault="00E244BF" w:rsidP="00E244BF">
            <w:pPr>
              <w:pStyle w:val="BodyTextIndent"/>
              <w:rPr>
                <w:sz w:val="20"/>
              </w:rPr>
            </w:pPr>
            <w:r w:rsidRPr="00067DF8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0</w:t>
            </w:r>
            <w:r w:rsidRPr="00067DF8">
              <w:rPr>
                <w:sz w:val="20"/>
                <w:lang w:val="en-US"/>
              </w:rPr>
              <w:t>-1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F106487" w14:textId="2A41B618" w:rsidR="00E244BF" w:rsidRPr="00067DF8" w:rsidRDefault="00E244BF" w:rsidP="00E244BF">
            <w:pPr>
              <w:pStyle w:val="BodyTextIndent"/>
              <w:rPr>
                <w:sz w:val="20"/>
              </w:rPr>
            </w:pPr>
            <w:r>
              <w:rPr>
                <w:sz w:val="20"/>
                <w:lang w:val="en-US"/>
              </w:rPr>
              <w:t>AG (on zoom)</w:t>
            </w:r>
          </w:p>
        </w:tc>
        <w:tc>
          <w:tcPr>
            <w:tcW w:w="6521" w:type="dxa"/>
            <w:shd w:val="clear" w:color="auto" w:fill="auto"/>
          </w:tcPr>
          <w:p w14:paraId="4529F92A" w14:textId="2E9EB916" w:rsidR="00E244BF" w:rsidRPr="00067DF8" w:rsidRDefault="00E244BF" w:rsidP="00E244BF">
            <w:pPr>
              <w:pStyle w:val="BodyTextIndent"/>
              <w:spacing w:line="240" w:lineRule="auto"/>
              <w:rPr>
                <w:b/>
                <w:sz w:val="20"/>
                <w:lang w:val="en-US"/>
              </w:rPr>
            </w:pPr>
            <w:r w:rsidRPr="00067DF8">
              <w:rPr>
                <w:b/>
                <w:sz w:val="20"/>
                <w:lang w:val="en-US"/>
              </w:rPr>
              <w:t>Democracy aid</w:t>
            </w:r>
            <w:r>
              <w:rPr>
                <w:b/>
                <w:sz w:val="20"/>
                <w:lang w:val="en-US"/>
              </w:rPr>
              <w:t xml:space="preserve"> effectiveness</w:t>
            </w:r>
          </w:p>
          <w:p w14:paraId="388797DF" w14:textId="77777777" w:rsidR="00E244BF" w:rsidRDefault="00E244BF" w:rsidP="00E244BF">
            <w:pPr>
              <w:pStyle w:val="BodyTextIndent"/>
              <w:spacing w:line="240" w:lineRule="auto"/>
              <w:rPr>
                <w:sz w:val="20"/>
                <w:lang w:val="en-US"/>
              </w:rPr>
            </w:pPr>
          </w:p>
          <w:p w14:paraId="25FAC1FD" w14:textId="69AC889D" w:rsidR="00E244BF" w:rsidRPr="00CB233B" w:rsidRDefault="00E244BF" w:rsidP="00E244BF">
            <w:pPr>
              <w:pStyle w:val="BodyTextIndent"/>
              <w:spacing w:after="120" w:line="240" w:lineRule="auto"/>
              <w:rPr>
                <w:sz w:val="20"/>
                <w:lang w:val="en-US"/>
              </w:rPr>
            </w:pPr>
            <w:r w:rsidRPr="00CB233B">
              <w:rPr>
                <w:sz w:val="20"/>
                <w:lang w:val="en-US"/>
              </w:rPr>
              <w:t xml:space="preserve">Bush, Sarah S. 2011. International politics and the spread of quotas for women in legislatures. </w:t>
            </w:r>
            <w:r w:rsidRPr="00CB233B">
              <w:rPr>
                <w:i/>
                <w:iCs/>
                <w:sz w:val="20"/>
                <w:lang w:val="en-US"/>
              </w:rPr>
              <w:t>Int</w:t>
            </w:r>
            <w:r>
              <w:rPr>
                <w:i/>
                <w:iCs/>
                <w:sz w:val="20"/>
                <w:lang w:val="en-US"/>
              </w:rPr>
              <w:t>ernational</w:t>
            </w:r>
            <w:r w:rsidRPr="00CB233B">
              <w:rPr>
                <w:i/>
                <w:iCs/>
                <w:sz w:val="20"/>
                <w:lang w:val="en-US"/>
              </w:rPr>
              <w:t xml:space="preserve"> Organ</w:t>
            </w:r>
            <w:r>
              <w:rPr>
                <w:i/>
                <w:iCs/>
                <w:sz w:val="20"/>
                <w:lang w:val="en-US"/>
              </w:rPr>
              <w:t>ization</w:t>
            </w:r>
            <w:r w:rsidRPr="00CB233B">
              <w:rPr>
                <w:i/>
                <w:iCs/>
                <w:sz w:val="20"/>
                <w:lang w:val="en-US"/>
              </w:rPr>
              <w:t>.</w:t>
            </w:r>
            <w:r w:rsidRPr="00CB233B">
              <w:rPr>
                <w:sz w:val="20"/>
                <w:lang w:val="en-US"/>
              </w:rPr>
              <w:t xml:space="preserve"> 65:103–37</w:t>
            </w:r>
          </w:p>
          <w:p w14:paraId="1FF0CB3F" w14:textId="77777777" w:rsidR="00E244BF" w:rsidRPr="00CB233B" w:rsidRDefault="00E244BF" w:rsidP="00E244BF">
            <w:pPr>
              <w:pStyle w:val="BodyTextIndent"/>
              <w:spacing w:after="120" w:line="240" w:lineRule="auto"/>
              <w:rPr>
                <w:sz w:val="20"/>
                <w:lang w:val="en-US"/>
              </w:rPr>
            </w:pPr>
            <w:r w:rsidRPr="00CB233B">
              <w:rPr>
                <w:sz w:val="20"/>
                <w:lang w:val="en-US"/>
              </w:rPr>
              <w:t xml:space="preserve">Finkel, Steven E., </w:t>
            </w:r>
            <w:proofErr w:type="spellStart"/>
            <w:r w:rsidRPr="00CB233B">
              <w:rPr>
                <w:sz w:val="20"/>
                <w:lang w:val="en-US"/>
              </w:rPr>
              <w:t>Aníbal</w:t>
            </w:r>
            <w:proofErr w:type="spellEnd"/>
            <w:r w:rsidRPr="00CB233B">
              <w:rPr>
                <w:sz w:val="20"/>
                <w:lang w:val="en-US"/>
              </w:rPr>
              <w:t xml:space="preserve"> Pérez-</w:t>
            </w:r>
            <w:proofErr w:type="spellStart"/>
            <w:r w:rsidRPr="00CB233B">
              <w:rPr>
                <w:sz w:val="20"/>
                <w:lang w:val="en-US"/>
              </w:rPr>
              <w:t>Liñán</w:t>
            </w:r>
            <w:proofErr w:type="spellEnd"/>
            <w:r w:rsidRPr="00CB233B">
              <w:rPr>
                <w:sz w:val="20"/>
                <w:lang w:val="en-US"/>
              </w:rPr>
              <w:t xml:space="preserve"> and Mitchell A. </w:t>
            </w:r>
            <w:proofErr w:type="spellStart"/>
            <w:r w:rsidRPr="00CB233B">
              <w:rPr>
                <w:sz w:val="20"/>
                <w:lang w:val="en-US"/>
              </w:rPr>
              <w:t>Seligson</w:t>
            </w:r>
            <w:proofErr w:type="spellEnd"/>
            <w:r w:rsidRPr="00CB233B">
              <w:rPr>
                <w:sz w:val="20"/>
                <w:lang w:val="en-US"/>
              </w:rPr>
              <w:t xml:space="preserve">. 2007. The Effects of U.S. Foreign Assistance on Democracy Building, 1990–2003. </w:t>
            </w:r>
            <w:r w:rsidRPr="00CB233B">
              <w:rPr>
                <w:i/>
                <w:iCs/>
                <w:sz w:val="20"/>
                <w:lang w:val="en-US"/>
              </w:rPr>
              <w:t>World Politics</w:t>
            </w:r>
            <w:r w:rsidRPr="00CB233B">
              <w:rPr>
                <w:sz w:val="20"/>
                <w:lang w:val="en-US"/>
              </w:rPr>
              <w:t xml:space="preserve"> 59 (03): 404–439.</w:t>
            </w:r>
          </w:p>
          <w:p w14:paraId="73B1FC89" w14:textId="77777777" w:rsidR="00E244BF" w:rsidRPr="00CB233B" w:rsidRDefault="00E244BF" w:rsidP="00E244BF">
            <w:pPr>
              <w:pStyle w:val="BodyTextIndent"/>
              <w:spacing w:after="120" w:line="240" w:lineRule="auto"/>
              <w:rPr>
                <w:sz w:val="20"/>
                <w:lang w:val="en-US"/>
              </w:rPr>
            </w:pPr>
            <w:r w:rsidRPr="00CB233B">
              <w:rPr>
                <w:sz w:val="20"/>
                <w:lang w:val="en-US"/>
              </w:rPr>
              <w:t xml:space="preserve">Steele, CA, </w:t>
            </w:r>
            <w:proofErr w:type="spellStart"/>
            <w:r w:rsidRPr="00CB233B">
              <w:rPr>
                <w:sz w:val="20"/>
                <w:lang w:val="en-US"/>
              </w:rPr>
              <w:t>Pemstein</w:t>
            </w:r>
            <w:proofErr w:type="spellEnd"/>
            <w:r w:rsidRPr="00CB233B">
              <w:rPr>
                <w:sz w:val="20"/>
                <w:lang w:val="en-US"/>
              </w:rPr>
              <w:t xml:space="preserve">, D, Meserve, SA. Democracy promotion and electoral quality: A disaggregated analysis. </w:t>
            </w:r>
            <w:r w:rsidRPr="00CB233B">
              <w:rPr>
                <w:i/>
                <w:iCs/>
                <w:sz w:val="20"/>
                <w:lang w:val="en-US"/>
              </w:rPr>
              <w:t>Governance</w:t>
            </w:r>
            <w:r w:rsidRPr="00CB233B">
              <w:rPr>
                <w:sz w:val="20"/>
                <w:lang w:val="en-US"/>
              </w:rPr>
              <w:t>. 2020; 1– 17. https://doi.org/10.1111/gove.12526</w:t>
            </w:r>
          </w:p>
          <w:p w14:paraId="0E320D02" w14:textId="77777777" w:rsidR="00E244BF" w:rsidRPr="00CB233B" w:rsidRDefault="00E244BF" w:rsidP="00E244BF">
            <w:pPr>
              <w:pStyle w:val="BodyTextIndent"/>
              <w:spacing w:line="240" w:lineRule="auto"/>
              <w:rPr>
                <w:sz w:val="20"/>
                <w:lang w:val="en-US"/>
              </w:rPr>
            </w:pPr>
          </w:p>
          <w:p w14:paraId="3129B54F" w14:textId="77777777" w:rsidR="00E244BF" w:rsidRPr="00CB233B" w:rsidRDefault="00E244BF" w:rsidP="00E244BF">
            <w:pPr>
              <w:pStyle w:val="BodyTextIndent"/>
              <w:spacing w:line="240" w:lineRule="auto"/>
              <w:rPr>
                <w:sz w:val="20"/>
                <w:lang w:val="en-US"/>
              </w:rPr>
            </w:pPr>
            <w:r w:rsidRPr="00CB233B">
              <w:rPr>
                <w:sz w:val="20"/>
                <w:lang w:val="en-US"/>
              </w:rPr>
              <w:t>Supplementary reading</w:t>
            </w:r>
          </w:p>
          <w:p w14:paraId="52ED56C0" w14:textId="281D584A" w:rsidR="00E244BF" w:rsidRPr="002122F9" w:rsidRDefault="00E244BF" w:rsidP="00E244BF">
            <w:pPr>
              <w:pStyle w:val="BodyTextIndent"/>
              <w:spacing w:line="240" w:lineRule="auto"/>
              <w:rPr>
                <w:sz w:val="20"/>
                <w:lang w:val="en-US"/>
              </w:rPr>
            </w:pPr>
            <w:proofErr w:type="spellStart"/>
            <w:r w:rsidRPr="00CB233B">
              <w:rPr>
                <w:sz w:val="20"/>
                <w:lang w:val="en-US"/>
              </w:rPr>
              <w:t>Zeeuw</w:t>
            </w:r>
            <w:proofErr w:type="spellEnd"/>
            <w:r w:rsidRPr="00CB233B">
              <w:rPr>
                <w:sz w:val="20"/>
                <w:lang w:val="en-US"/>
              </w:rPr>
              <w:t>, Jeroen de. 2005. Projects do not create institutions: The record of democracy assistance in post-conflict societies. Democratization 12(4):481-504.</w:t>
            </w:r>
          </w:p>
        </w:tc>
      </w:tr>
      <w:tr w:rsidR="00E244BF" w:rsidRPr="00EA0F90" w14:paraId="7ED25A73" w14:textId="77777777" w:rsidTr="00AF0695">
        <w:trPr>
          <w:trHeight w:val="668"/>
        </w:trPr>
        <w:tc>
          <w:tcPr>
            <w:tcW w:w="779" w:type="dxa"/>
            <w:shd w:val="clear" w:color="auto" w:fill="auto"/>
            <w:vAlign w:val="center"/>
          </w:tcPr>
          <w:p w14:paraId="46153D0A" w14:textId="1440DFDE" w:rsidR="00E244BF" w:rsidRPr="00067DF8" w:rsidRDefault="00E244BF" w:rsidP="00E244BF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067DF8">
              <w:rPr>
                <w:sz w:val="20"/>
              </w:rPr>
              <w:t>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3749C" w14:textId="38A54E3A" w:rsidR="00E244BF" w:rsidRPr="00067DF8" w:rsidRDefault="00E244BF" w:rsidP="00E244BF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067DF8">
              <w:rPr>
                <w:sz w:val="20"/>
              </w:rPr>
              <w:t>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2D658E" w14:textId="1668784A" w:rsidR="00E244BF" w:rsidRPr="00067DF8" w:rsidRDefault="00E244BF" w:rsidP="00E244BF">
            <w:pPr>
              <w:pStyle w:val="BodyTextIndent"/>
              <w:rPr>
                <w:sz w:val="2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69DCD1B" w14:textId="3CCEE448" w:rsidR="00E244BF" w:rsidRPr="000C4AAE" w:rsidRDefault="00E244BF" w:rsidP="00E244BF">
            <w:pPr>
              <w:pStyle w:val="BodyTextIndent"/>
              <w:rPr>
                <w:b/>
                <w:bCs/>
                <w:sz w:val="20"/>
                <w:lang w:val="en-US"/>
              </w:rPr>
            </w:pPr>
            <w:r w:rsidRPr="000C4AAE">
              <w:rPr>
                <w:b/>
                <w:bCs/>
                <w:sz w:val="20"/>
                <w:lang w:val="en-US"/>
              </w:rPr>
              <w:t>Deadline: Policy brief on anti-corruption</w:t>
            </w:r>
          </w:p>
        </w:tc>
      </w:tr>
      <w:tr w:rsidR="00E244BF" w:rsidRPr="00EA0F90" w14:paraId="6EB33A11" w14:textId="77777777" w:rsidTr="00653BB7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66E4DF37" w14:textId="78D67B6D" w:rsidR="00E244BF" w:rsidRPr="00067DF8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23</w:t>
            </w:r>
            <w:r w:rsidRPr="00067DF8">
              <w:rPr>
                <w:sz w:val="20"/>
              </w:rPr>
              <w:t>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4417B" w14:textId="34D31263" w:rsidR="00E244BF" w:rsidRPr="00067DF8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r w:rsidRPr="00067DF8">
              <w:rPr>
                <w:sz w:val="20"/>
              </w:rPr>
              <w:t>1</w:t>
            </w:r>
            <w:r>
              <w:rPr>
                <w:sz w:val="20"/>
              </w:rPr>
              <w:t>3.00-14.15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0F93B" w14:textId="5F9B41E0" w:rsidR="00E244BF" w:rsidRPr="00067DF8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6F46157C" w14:textId="6AC1CE0C" w:rsidR="00E244BF" w:rsidRPr="00067DF8" w:rsidRDefault="00E244BF" w:rsidP="00E244BF">
            <w:pPr>
              <w:pStyle w:val="BodyTextIndent"/>
              <w:spacing w:line="240" w:lineRule="auto"/>
              <w:rPr>
                <w:sz w:val="20"/>
                <w:lang w:val="en-US"/>
              </w:rPr>
            </w:pPr>
            <w:r w:rsidRPr="00BD7370">
              <w:rPr>
                <w:sz w:val="20"/>
                <w:highlight w:val="lightGray"/>
                <w:lang w:val="en-US"/>
              </w:rPr>
              <w:t>SEMINAR 2</w:t>
            </w:r>
            <w:r w:rsidRPr="004460B0">
              <w:rPr>
                <w:sz w:val="20"/>
                <w:lang w:val="en-US"/>
              </w:rPr>
              <w:t>: Pres of policy briefs on Anti-corruption</w:t>
            </w:r>
            <w:r>
              <w:rPr>
                <w:sz w:val="20"/>
                <w:lang w:val="en-US"/>
              </w:rPr>
              <w:t>, discussion of corruption and policy responses - group 2</w:t>
            </w:r>
          </w:p>
        </w:tc>
      </w:tr>
      <w:tr w:rsidR="00E244BF" w:rsidRPr="00E244BF" w14:paraId="4E52619F" w14:textId="77777777" w:rsidTr="003E61D9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228E23F1" w14:textId="77777777" w:rsidR="00E244BF" w:rsidRDefault="00E244BF" w:rsidP="00E244BF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23/11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59BE2" w14:textId="4BD2CA09" w:rsidR="00E244BF" w:rsidRDefault="00E244BF" w:rsidP="00E244BF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14.30-15.45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A03F1" w14:textId="77777777" w:rsidR="00E244BF" w:rsidRDefault="00E244BF" w:rsidP="00E244BF">
            <w:pPr>
              <w:pStyle w:val="BodyTextInden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08B62266" w14:textId="39C94E78" w:rsidR="00E244BF" w:rsidRPr="00BD7370" w:rsidRDefault="00E244BF" w:rsidP="00E244BF">
            <w:pPr>
              <w:pStyle w:val="BodyTextIndent"/>
              <w:spacing w:line="240" w:lineRule="auto"/>
              <w:rPr>
                <w:sz w:val="20"/>
                <w:highlight w:val="lightGray"/>
                <w:lang w:val="en-US"/>
              </w:rPr>
            </w:pPr>
            <w:r w:rsidRPr="00BD7370">
              <w:rPr>
                <w:sz w:val="20"/>
                <w:highlight w:val="lightGray"/>
                <w:lang w:val="en-US"/>
              </w:rPr>
              <w:t>SEMINAR 2</w:t>
            </w:r>
            <w:r w:rsidRPr="004460B0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group 1</w:t>
            </w:r>
          </w:p>
        </w:tc>
      </w:tr>
      <w:tr w:rsidR="00E244BF" w:rsidRPr="00E244BF" w14:paraId="5F674A3C" w14:textId="77777777" w:rsidTr="0000736D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26119F08" w14:textId="77777777" w:rsidR="00E244BF" w:rsidRPr="00067DF8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23</w:t>
            </w:r>
            <w:r w:rsidRPr="00067DF8">
              <w:rPr>
                <w:sz w:val="20"/>
              </w:rPr>
              <w:t>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0EC434" w14:textId="525349CE" w:rsidR="00E244BF" w:rsidRPr="00067DF8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16.0</w:t>
            </w:r>
            <w:r w:rsidR="00ED1D81">
              <w:rPr>
                <w:sz w:val="20"/>
              </w:rPr>
              <w:t>0</w:t>
            </w:r>
            <w:r>
              <w:rPr>
                <w:sz w:val="20"/>
              </w:rPr>
              <w:t>-17.0</w:t>
            </w:r>
            <w:r w:rsidR="00ED1D81"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89C9F9" w14:textId="0C84D991" w:rsidR="00E244BF" w:rsidRPr="00067DF8" w:rsidRDefault="00E244BF" w:rsidP="00E244BF">
            <w:pPr>
              <w:pStyle w:val="BodyTextIndent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MGr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63160915" w14:textId="511942A1" w:rsidR="00E244BF" w:rsidRPr="00067DF8" w:rsidRDefault="00E244BF" w:rsidP="00E244BF">
            <w:pPr>
              <w:pStyle w:val="BodyTextIndent"/>
              <w:spacing w:line="240" w:lineRule="auto"/>
              <w:rPr>
                <w:sz w:val="20"/>
                <w:lang w:val="en-US"/>
              </w:rPr>
            </w:pPr>
            <w:r w:rsidRPr="00BD7370">
              <w:rPr>
                <w:sz w:val="20"/>
                <w:highlight w:val="lightGray"/>
                <w:lang w:val="en-US"/>
              </w:rPr>
              <w:t>SEMINAR 2</w:t>
            </w:r>
            <w:r>
              <w:rPr>
                <w:sz w:val="20"/>
                <w:lang w:val="en-US"/>
              </w:rPr>
              <w:t>: online group</w:t>
            </w:r>
          </w:p>
        </w:tc>
      </w:tr>
      <w:tr w:rsidR="00E244BF" w:rsidRPr="00EA0F90" w14:paraId="7FCFEB50" w14:textId="77777777" w:rsidTr="0011047F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6CC7A079" w14:textId="4AFB7992" w:rsidR="00E244BF" w:rsidRPr="00067DF8" w:rsidRDefault="00E244BF" w:rsidP="00E244BF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</w:rPr>
              <w:t>26/</w:t>
            </w:r>
            <w:r w:rsidRPr="00067DF8">
              <w:rPr>
                <w:sz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643D5D" w14:textId="300A198E" w:rsidR="00E244BF" w:rsidRPr="00067DF8" w:rsidRDefault="00E244BF" w:rsidP="00E244BF">
            <w:pPr>
              <w:pStyle w:val="BodyTextIndent"/>
              <w:rPr>
                <w:sz w:val="20"/>
                <w:lang w:val="en-US"/>
              </w:rPr>
            </w:pPr>
            <w:r w:rsidRPr="00067DF8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067DF8">
              <w:rPr>
                <w:sz w:val="20"/>
              </w:rPr>
              <w:t>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2F8EB" w14:textId="3331B82B" w:rsidR="00E244BF" w:rsidRPr="00067DF8" w:rsidRDefault="00E244BF" w:rsidP="00E244BF">
            <w:pPr>
              <w:pStyle w:val="BodyTextIndent"/>
              <w:rPr>
                <w:sz w:val="20"/>
                <w:lang w:val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A642AEF" w14:textId="7CF079DD" w:rsidR="00E244BF" w:rsidRPr="000C4AAE" w:rsidRDefault="00E244BF" w:rsidP="00E244BF">
            <w:pPr>
              <w:pStyle w:val="BodyTextIndent"/>
              <w:spacing w:after="60" w:line="240" w:lineRule="auto"/>
              <w:rPr>
                <w:b/>
                <w:bCs/>
                <w:sz w:val="20"/>
                <w:lang w:val="en-US"/>
              </w:rPr>
            </w:pPr>
            <w:r w:rsidRPr="000C4AAE">
              <w:rPr>
                <w:b/>
                <w:bCs/>
                <w:sz w:val="20"/>
                <w:lang w:val="en-US"/>
              </w:rPr>
              <w:t xml:space="preserve">Deadline: Policy brief on democracy aid </w:t>
            </w:r>
          </w:p>
        </w:tc>
      </w:tr>
      <w:tr w:rsidR="00E244BF" w:rsidRPr="00EA0F90" w14:paraId="39F3FD0F" w14:textId="77777777" w:rsidTr="0011047F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62B5BCAD" w14:textId="1B5B1323" w:rsidR="00E244BF" w:rsidRDefault="00E244BF" w:rsidP="00E244BF">
            <w:pPr>
              <w:pStyle w:val="BodyTextIndent"/>
              <w:rPr>
                <w:sz w:val="20"/>
              </w:rPr>
            </w:pPr>
            <w:r w:rsidRPr="00067DF8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067DF8">
              <w:rPr>
                <w:sz w:val="20"/>
              </w:rPr>
              <w:t>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431C7" w14:textId="0EBE37A1" w:rsidR="00E244BF" w:rsidRPr="00067DF8" w:rsidRDefault="00E244BF" w:rsidP="00E244BF">
            <w:pPr>
              <w:pStyle w:val="BodyTextIndent"/>
              <w:rPr>
                <w:sz w:val="20"/>
              </w:rPr>
            </w:pPr>
            <w:r w:rsidRPr="00067DF8">
              <w:rPr>
                <w:sz w:val="20"/>
              </w:rPr>
              <w:t>1</w:t>
            </w:r>
            <w:r>
              <w:rPr>
                <w:sz w:val="20"/>
              </w:rPr>
              <w:t>3.00-14.15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6A5F1" w14:textId="4538770E" w:rsidR="00E244BF" w:rsidRPr="00067DF8" w:rsidRDefault="00E244BF" w:rsidP="00E244BF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5D8D1C4" w14:textId="1771C07F" w:rsidR="00E244BF" w:rsidRPr="00A16505" w:rsidRDefault="00E244BF" w:rsidP="00E244BF">
            <w:pPr>
              <w:pStyle w:val="BodyTextIndent"/>
              <w:spacing w:after="60" w:line="240" w:lineRule="auto"/>
              <w:rPr>
                <w:sz w:val="20"/>
                <w:highlight w:val="lightGray"/>
                <w:lang w:val="en-US"/>
              </w:rPr>
            </w:pPr>
            <w:r w:rsidRPr="00F81E6D">
              <w:rPr>
                <w:sz w:val="20"/>
                <w:highlight w:val="lightGray"/>
                <w:lang w:val="en-US"/>
              </w:rPr>
              <w:t>SEMINAR 3</w:t>
            </w:r>
            <w:r w:rsidRPr="004460B0">
              <w:rPr>
                <w:sz w:val="20"/>
                <w:lang w:val="en-US"/>
              </w:rPr>
              <w:t xml:space="preserve">: Pres of policy briefs on dem aid </w:t>
            </w:r>
            <w:r>
              <w:rPr>
                <w:sz w:val="20"/>
                <w:lang w:val="en-US"/>
              </w:rPr>
              <w:t>(group 1, online)</w:t>
            </w:r>
          </w:p>
        </w:tc>
      </w:tr>
      <w:tr w:rsidR="00E244BF" w:rsidRPr="00EA0F90" w14:paraId="55DBD9B7" w14:textId="77777777" w:rsidTr="0070349F">
        <w:trPr>
          <w:trHeight w:val="436"/>
        </w:trPr>
        <w:tc>
          <w:tcPr>
            <w:tcW w:w="779" w:type="dxa"/>
            <w:shd w:val="clear" w:color="auto" w:fill="auto"/>
            <w:vAlign w:val="center"/>
          </w:tcPr>
          <w:p w14:paraId="628EC762" w14:textId="77777777" w:rsidR="00E244BF" w:rsidRPr="00067DF8" w:rsidRDefault="00E244BF" w:rsidP="00E244BF">
            <w:pPr>
              <w:pStyle w:val="BodyTextIndent"/>
              <w:rPr>
                <w:sz w:val="20"/>
              </w:rPr>
            </w:pPr>
            <w:r w:rsidRPr="00067DF8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067DF8">
              <w:rPr>
                <w:sz w:val="20"/>
              </w:rPr>
              <w:t>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83F7E2" w14:textId="7D0906AC" w:rsidR="00E244BF" w:rsidRPr="00067DF8" w:rsidRDefault="00E244BF" w:rsidP="00E244BF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>14.30-15.45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9678D" w14:textId="77777777" w:rsidR="00E244BF" w:rsidRPr="00067DF8" w:rsidRDefault="00E244BF" w:rsidP="00E244BF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0966CE1" w14:textId="77777777" w:rsidR="00E244BF" w:rsidRPr="004460B0" w:rsidRDefault="00E244BF" w:rsidP="00E244BF">
            <w:pPr>
              <w:pStyle w:val="BodyTextIndent"/>
              <w:rPr>
                <w:sz w:val="20"/>
                <w:lang w:val="en-US"/>
              </w:rPr>
            </w:pPr>
            <w:r w:rsidRPr="00F81E6D">
              <w:rPr>
                <w:sz w:val="20"/>
                <w:highlight w:val="lightGray"/>
                <w:lang w:val="en-US"/>
              </w:rPr>
              <w:t>SEMINAR 3</w:t>
            </w:r>
            <w:r w:rsidRPr="004460B0">
              <w:rPr>
                <w:sz w:val="20"/>
                <w:lang w:val="en-US"/>
              </w:rPr>
              <w:t xml:space="preserve">: Pres of policy briefs on dem aid </w:t>
            </w:r>
            <w:r>
              <w:rPr>
                <w:sz w:val="20"/>
                <w:lang w:val="en-US"/>
              </w:rPr>
              <w:t>(group 2, online)</w:t>
            </w:r>
          </w:p>
        </w:tc>
      </w:tr>
      <w:tr w:rsidR="00E244BF" w:rsidRPr="00EA0F90" w14:paraId="51023212" w14:textId="77777777" w:rsidTr="0011047F">
        <w:trPr>
          <w:trHeight w:val="436"/>
        </w:trPr>
        <w:tc>
          <w:tcPr>
            <w:tcW w:w="779" w:type="dxa"/>
            <w:shd w:val="clear" w:color="auto" w:fill="auto"/>
            <w:vAlign w:val="center"/>
          </w:tcPr>
          <w:p w14:paraId="668349C1" w14:textId="3C057955" w:rsidR="00E244BF" w:rsidRPr="00067DF8" w:rsidRDefault="00E244BF" w:rsidP="00E244BF">
            <w:pPr>
              <w:pStyle w:val="BodyTextIndent"/>
              <w:rPr>
                <w:sz w:val="20"/>
              </w:rPr>
            </w:pPr>
            <w:r w:rsidRPr="00067DF8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067DF8">
              <w:rPr>
                <w:sz w:val="20"/>
              </w:rPr>
              <w:t>/11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B16E51" w14:textId="06283817" w:rsidR="00E244BF" w:rsidRPr="00067DF8" w:rsidRDefault="00E244BF" w:rsidP="00E244BF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>16.00-17.00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20746" w14:textId="65546AF9" w:rsidR="00E244BF" w:rsidRPr="00067DF8" w:rsidRDefault="00E244BF" w:rsidP="00E244BF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43DC6D9" w14:textId="502F1F85" w:rsidR="00E244BF" w:rsidRPr="004460B0" w:rsidRDefault="00E244BF" w:rsidP="00E244BF">
            <w:pPr>
              <w:pStyle w:val="BodyTextIndent"/>
              <w:rPr>
                <w:sz w:val="20"/>
                <w:lang w:val="en-US"/>
              </w:rPr>
            </w:pPr>
            <w:r w:rsidRPr="00F81E6D">
              <w:rPr>
                <w:sz w:val="20"/>
                <w:highlight w:val="lightGray"/>
                <w:lang w:val="en-US"/>
              </w:rPr>
              <w:t>SEMINAR 3</w:t>
            </w:r>
            <w:r w:rsidRPr="004460B0">
              <w:rPr>
                <w:sz w:val="20"/>
                <w:lang w:val="en-US"/>
              </w:rPr>
              <w:t xml:space="preserve">: Pres of policy briefs on dem aid </w:t>
            </w:r>
            <w:r w:rsidR="007D1538">
              <w:rPr>
                <w:sz w:val="20"/>
                <w:lang w:val="en-US"/>
              </w:rPr>
              <w:t>(online group)</w:t>
            </w:r>
          </w:p>
        </w:tc>
      </w:tr>
    </w:tbl>
    <w:p w14:paraId="24EF2B7E" w14:textId="77777777" w:rsidR="00C4331D" w:rsidRPr="004460B0" w:rsidRDefault="00C4331D" w:rsidP="007A73B3">
      <w:pPr>
        <w:rPr>
          <w:sz w:val="22"/>
          <w:szCs w:val="22"/>
          <w:lang w:val="en-US"/>
        </w:rPr>
      </w:pPr>
    </w:p>
    <w:p w14:paraId="066443D7" w14:textId="77777777" w:rsidR="00C4331D" w:rsidRPr="004460B0" w:rsidRDefault="00C4331D" w:rsidP="007A73B3">
      <w:pPr>
        <w:rPr>
          <w:sz w:val="22"/>
          <w:szCs w:val="22"/>
          <w:lang w:val="en-US"/>
        </w:rPr>
      </w:pPr>
    </w:p>
    <w:p w14:paraId="3735B0B4" w14:textId="3624A586" w:rsidR="00A16505" w:rsidRDefault="00A16505">
      <w:pPr>
        <w:rPr>
          <w:sz w:val="22"/>
          <w:szCs w:val="22"/>
          <w:lang w:val="en-US"/>
        </w:rPr>
      </w:pPr>
    </w:p>
    <w:p w14:paraId="1235E6E0" w14:textId="5BDECF3C" w:rsidR="00C4331D" w:rsidRPr="00A16505" w:rsidRDefault="00313322" w:rsidP="007A73B3">
      <w:pPr>
        <w:rPr>
          <w:sz w:val="24"/>
          <w:szCs w:val="22"/>
          <w:lang w:val="en-US"/>
        </w:rPr>
      </w:pPr>
      <w:r w:rsidRPr="00A16505">
        <w:rPr>
          <w:sz w:val="24"/>
          <w:szCs w:val="22"/>
          <w:lang w:val="en-US"/>
        </w:rPr>
        <w:t>Block</w:t>
      </w:r>
      <w:r w:rsidR="00A16505" w:rsidRPr="00A16505">
        <w:rPr>
          <w:sz w:val="24"/>
          <w:szCs w:val="22"/>
          <w:lang w:val="en-US"/>
        </w:rPr>
        <w:t xml:space="preserve"> 2</w:t>
      </w:r>
      <w:r w:rsidRPr="00A16505">
        <w:rPr>
          <w:sz w:val="24"/>
          <w:szCs w:val="22"/>
          <w:lang w:val="en-US"/>
        </w:rPr>
        <w:t>: Development Cooperation</w:t>
      </w:r>
      <w:r w:rsidR="00CE1906" w:rsidRPr="00A16505">
        <w:rPr>
          <w:sz w:val="24"/>
          <w:szCs w:val="22"/>
          <w:lang w:val="en-US"/>
        </w:rPr>
        <w:t xml:space="preserve"> in theory and practice</w:t>
      </w:r>
    </w:p>
    <w:p w14:paraId="38E6C8D0" w14:textId="77777777" w:rsidR="00C4331D" w:rsidRPr="004460B0" w:rsidRDefault="00C4331D" w:rsidP="007A73B3">
      <w:pPr>
        <w:rPr>
          <w:sz w:val="22"/>
          <w:szCs w:val="22"/>
          <w:lang w:val="en-US"/>
        </w:rPr>
      </w:pPr>
    </w:p>
    <w:tbl>
      <w:tblPr>
        <w:tblW w:w="956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850"/>
        <w:gridCol w:w="7088"/>
      </w:tblGrid>
      <w:tr w:rsidR="00C4331D" w:rsidRPr="00EA0F90" w14:paraId="1C142AD7" w14:textId="77777777" w:rsidTr="00462CEE">
        <w:trPr>
          <w:trHeight w:val="1469"/>
        </w:trPr>
        <w:tc>
          <w:tcPr>
            <w:tcW w:w="779" w:type="dxa"/>
            <w:shd w:val="clear" w:color="auto" w:fill="FFFFFF" w:themeFill="background1"/>
          </w:tcPr>
          <w:p w14:paraId="08B29833" w14:textId="2331F9E8" w:rsidR="00C4331D" w:rsidRPr="00067DF8" w:rsidRDefault="00E24A3C" w:rsidP="007A73B3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="00C4331D" w:rsidRPr="00067DF8">
              <w:rPr>
                <w:sz w:val="20"/>
              </w:rPr>
              <w:t>/11</w:t>
            </w:r>
          </w:p>
        </w:tc>
        <w:tc>
          <w:tcPr>
            <w:tcW w:w="851" w:type="dxa"/>
            <w:shd w:val="clear" w:color="auto" w:fill="FFFFFF" w:themeFill="background1"/>
          </w:tcPr>
          <w:p w14:paraId="46859EB0" w14:textId="77777777" w:rsidR="00C4331D" w:rsidRPr="00067DF8" w:rsidRDefault="00C4331D" w:rsidP="007A73B3">
            <w:pPr>
              <w:pStyle w:val="BodyTextIndent"/>
              <w:jc w:val="both"/>
              <w:rPr>
                <w:sz w:val="20"/>
              </w:rPr>
            </w:pPr>
            <w:r w:rsidRPr="00067DF8">
              <w:rPr>
                <w:sz w:val="20"/>
              </w:rPr>
              <w:t>13-15</w:t>
            </w:r>
          </w:p>
        </w:tc>
        <w:tc>
          <w:tcPr>
            <w:tcW w:w="850" w:type="dxa"/>
            <w:shd w:val="clear" w:color="auto" w:fill="FFFFFF" w:themeFill="background1"/>
          </w:tcPr>
          <w:p w14:paraId="33AB6D3B" w14:textId="3A35D0E2" w:rsidR="00C4331D" w:rsidRPr="00067DF8" w:rsidRDefault="006D0828" w:rsidP="007A73B3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7088" w:type="dxa"/>
            <w:shd w:val="clear" w:color="auto" w:fill="FFFFFF" w:themeFill="background1"/>
          </w:tcPr>
          <w:p w14:paraId="332572BF" w14:textId="77777777" w:rsidR="006D0828" w:rsidRPr="0011047F" w:rsidRDefault="006D0828" w:rsidP="006D0828">
            <w:pPr>
              <w:pStyle w:val="BodyTextIndent"/>
              <w:spacing w:after="60" w:line="240" w:lineRule="auto"/>
              <w:rPr>
                <w:b/>
                <w:bCs/>
                <w:sz w:val="20"/>
                <w:lang w:val="en-US"/>
              </w:rPr>
            </w:pPr>
            <w:r w:rsidRPr="0011047F">
              <w:rPr>
                <w:b/>
                <w:bCs/>
                <w:sz w:val="20"/>
                <w:lang w:val="en-US"/>
              </w:rPr>
              <w:t>Aid and Institutional Quality</w:t>
            </w:r>
          </w:p>
          <w:p w14:paraId="3EAFD716" w14:textId="77777777" w:rsidR="006D0828" w:rsidRPr="00067DF8" w:rsidRDefault="006D0828" w:rsidP="006D0828">
            <w:pPr>
              <w:pStyle w:val="BodyTextIndent"/>
              <w:spacing w:after="60" w:line="240" w:lineRule="auto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 xml:space="preserve">Collier, P. (2008) </w:t>
            </w:r>
            <w:r w:rsidRPr="00067DF8">
              <w:rPr>
                <w:i/>
                <w:iCs/>
                <w:sz w:val="20"/>
                <w:lang w:val="en-US"/>
              </w:rPr>
              <w:t xml:space="preserve">The Bottom Billion, </w:t>
            </w:r>
            <w:r w:rsidRPr="00067DF8">
              <w:rPr>
                <w:sz w:val="20"/>
                <w:lang w:val="en-US"/>
              </w:rPr>
              <w:t>(paperback), Oxford University Press. </w:t>
            </w:r>
          </w:p>
          <w:p w14:paraId="528A3B5C" w14:textId="195CE242" w:rsidR="00394799" w:rsidRPr="00F81E6D" w:rsidRDefault="006D0828" w:rsidP="00462CEE">
            <w:pPr>
              <w:pStyle w:val="BodyTextIndent"/>
              <w:spacing w:after="60" w:line="240" w:lineRule="auto"/>
              <w:rPr>
                <w:lang w:val="en"/>
              </w:rPr>
            </w:pPr>
            <w:r>
              <w:rPr>
                <w:sz w:val="20"/>
                <w:lang w:val="en-US"/>
              </w:rPr>
              <w:t xml:space="preserve">Dietrich, Simone and Matthew Winters. </w:t>
            </w:r>
            <w:r w:rsidRPr="006D0828">
              <w:rPr>
                <w:bCs/>
                <w:sz w:val="20"/>
                <w:lang w:val="en-US"/>
              </w:rPr>
              <w:t>Foreign Aid and Quality of Government. In B</w:t>
            </w:r>
            <w:r>
              <w:rPr>
                <w:bCs/>
                <w:sz w:val="20"/>
                <w:lang w:val="en-US"/>
              </w:rPr>
              <w:t xml:space="preserve">auhr, Monika, Andreas </w:t>
            </w:r>
            <w:proofErr w:type="spellStart"/>
            <w:r>
              <w:rPr>
                <w:bCs/>
                <w:sz w:val="20"/>
                <w:lang w:val="en-US"/>
              </w:rPr>
              <w:t>Bågenholm</w:t>
            </w:r>
            <w:proofErr w:type="spellEnd"/>
            <w:r>
              <w:rPr>
                <w:bCs/>
                <w:sz w:val="20"/>
                <w:lang w:val="en-US"/>
              </w:rPr>
              <w:t xml:space="preserve">, Marcia Grimes and Bo Rothstein (eds). </w:t>
            </w:r>
            <w:r w:rsidRPr="006D0828">
              <w:rPr>
                <w:bCs/>
                <w:i/>
                <w:iCs/>
                <w:sz w:val="20"/>
                <w:lang w:val="en-US"/>
              </w:rPr>
              <w:t>Handbook of the Quality of Government</w:t>
            </w:r>
            <w:r>
              <w:rPr>
                <w:bCs/>
                <w:sz w:val="20"/>
                <w:lang w:val="en-US"/>
              </w:rPr>
              <w:t>. Oxford: Oxford University Press.</w:t>
            </w:r>
          </w:p>
        </w:tc>
      </w:tr>
      <w:tr w:rsidR="00E24A3C" w:rsidRPr="00EA0F90" w14:paraId="19893526" w14:textId="77777777" w:rsidTr="00B17E1B">
        <w:trPr>
          <w:trHeight w:val="425"/>
        </w:trPr>
        <w:tc>
          <w:tcPr>
            <w:tcW w:w="779" w:type="dxa"/>
            <w:shd w:val="clear" w:color="auto" w:fill="FFFFFF" w:themeFill="background1"/>
          </w:tcPr>
          <w:p w14:paraId="6C1271DA" w14:textId="0FE4E6BA" w:rsidR="00E24A3C" w:rsidRPr="00067DF8" w:rsidRDefault="00E24A3C" w:rsidP="00B17E1B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67DF8">
              <w:rPr>
                <w:sz w:val="20"/>
              </w:rPr>
              <w:t>/1</w:t>
            </w:r>
            <w:r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1AA6BC4C" w14:textId="77777777" w:rsidR="00E24A3C" w:rsidRPr="00067DF8" w:rsidRDefault="00E24A3C" w:rsidP="00B17E1B">
            <w:pPr>
              <w:pStyle w:val="BodyTextIndent"/>
              <w:jc w:val="both"/>
              <w:rPr>
                <w:sz w:val="20"/>
              </w:rPr>
            </w:pPr>
            <w:proofErr w:type="gramStart"/>
            <w:r w:rsidRPr="00067DF8">
              <w:rPr>
                <w:sz w:val="20"/>
              </w:rPr>
              <w:t>13-15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14:paraId="09926C15" w14:textId="3A1F3856" w:rsidR="00E24A3C" w:rsidRPr="00067DF8" w:rsidRDefault="00E24A3C" w:rsidP="00B17E1B">
            <w:pPr>
              <w:pStyle w:val="BodyTextIndent"/>
              <w:jc w:val="both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7088" w:type="dxa"/>
            <w:shd w:val="clear" w:color="auto" w:fill="FFFFFF" w:themeFill="background1"/>
          </w:tcPr>
          <w:p w14:paraId="51490525" w14:textId="77777777" w:rsidR="00E24A3C" w:rsidRPr="0011047F" w:rsidRDefault="00E24A3C" w:rsidP="00B17E1B">
            <w:pPr>
              <w:pStyle w:val="BodyTextIndent"/>
              <w:spacing w:after="60" w:line="240" w:lineRule="auto"/>
              <w:rPr>
                <w:b/>
                <w:bCs/>
                <w:sz w:val="20"/>
                <w:lang w:val="en-US"/>
              </w:rPr>
            </w:pPr>
            <w:r w:rsidRPr="0011047F">
              <w:rPr>
                <w:b/>
                <w:bCs/>
                <w:sz w:val="20"/>
                <w:lang w:val="en-US"/>
              </w:rPr>
              <w:t xml:space="preserve">Aid and </w:t>
            </w:r>
            <w:r>
              <w:rPr>
                <w:b/>
                <w:bCs/>
                <w:sz w:val="20"/>
                <w:lang w:val="en-US"/>
              </w:rPr>
              <w:t>E</w:t>
            </w:r>
            <w:r w:rsidRPr="0011047F">
              <w:rPr>
                <w:b/>
                <w:bCs/>
                <w:sz w:val="20"/>
                <w:lang w:val="en-US"/>
              </w:rPr>
              <w:t xml:space="preserve">conomic </w:t>
            </w:r>
            <w:r>
              <w:rPr>
                <w:b/>
                <w:bCs/>
                <w:sz w:val="20"/>
                <w:lang w:val="en-US"/>
              </w:rPr>
              <w:t>D</w:t>
            </w:r>
            <w:r w:rsidRPr="0011047F">
              <w:rPr>
                <w:b/>
                <w:bCs/>
                <w:sz w:val="20"/>
                <w:lang w:val="en-US"/>
              </w:rPr>
              <w:t xml:space="preserve">evelopment </w:t>
            </w:r>
          </w:p>
          <w:p w14:paraId="0A63A518" w14:textId="77777777" w:rsidR="00E65F65" w:rsidRPr="00E65F65" w:rsidRDefault="00E65F65" w:rsidP="00E65F65">
            <w:pPr>
              <w:pStyle w:val="BodyTextIndent"/>
              <w:spacing w:after="60" w:line="240" w:lineRule="auto"/>
              <w:rPr>
                <w:sz w:val="21"/>
                <w:lang w:val="en-US"/>
              </w:rPr>
            </w:pPr>
            <w:r w:rsidRPr="00E65F65">
              <w:rPr>
                <w:sz w:val="21"/>
                <w:lang w:val="en-US"/>
              </w:rPr>
              <w:t>Edwards, S. (2015), “Economic Development and the Effectiveness of Foreign Aid: A Historical Perspective”, </w:t>
            </w:r>
            <w:proofErr w:type="spellStart"/>
            <w:r w:rsidRPr="00E65F65">
              <w:rPr>
                <w:i/>
                <w:iCs/>
                <w:sz w:val="21"/>
                <w:lang w:val="en-US"/>
              </w:rPr>
              <w:t>Kyklos</w:t>
            </w:r>
            <w:proofErr w:type="spellEnd"/>
            <w:r w:rsidRPr="00E65F65">
              <w:rPr>
                <w:sz w:val="21"/>
                <w:lang w:val="en-US"/>
              </w:rPr>
              <w:t> 68(3): 277-316.</w:t>
            </w:r>
          </w:p>
          <w:p w14:paraId="2BC14CA2" w14:textId="77777777" w:rsidR="00E65F65" w:rsidRPr="00E65F65" w:rsidRDefault="00E65F65" w:rsidP="00E65F65">
            <w:pPr>
              <w:pStyle w:val="BodyTextIndent"/>
              <w:spacing w:after="60" w:line="240" w:lineRule="auto"/>
              <w:rPr>
                <w:sz w:val="21"/>
                <w:lang w:val="en-US"/>
              </w:rPr>
            </w:pPr>
            <w:r w:rsidRPr="00E65F65">
              <w:rPr>
                <w:sz w:val="21"/>
                <w:lang w:val="en-US"/>
              </w:rPr>
              <w:t xml:space="preserve">Clemens, M. A., </w:t>
            </w:r>
            <w:proofErr w:type="spellStart"/>
            <w:r w:rsidRPr="00E65F65">
              <w:rPr>
                <w:sz w:val="21"/>
                <w:lang w:val="en-US"/>
              </w:rPr>
              <w:t>Radelet</w:t>
            </w:r>
            <w:proofErr w:type="spellEnd"/>
            <w:r w:rsidRPr="00E65F65">
              <w:rPr>
                <w:sz w:val="21"/>
                <w:lang w:val="en-US"/>
              </w:rPr>
              <w:t xml:space="preserve">, S., </w:t>
            </w:r>
            <w:proofErr w:type="spellStart"/>
            <w:r w:rsidRPr="00E65F65">
              <w:rPr>
                <w:sz w:val="21"/>
                <w:lang w:val="en-US"/>
              </w:rPr>
              <w:t>Bhavnani</w:t>
            </w:r>
            <w:proofErr w:type="spellEnd"/>
            <w:r w:rsidRPr="00E65F65">
              <w:rPr>
                <w:sz w:val="21"/>
                <w:lang w:val="en-US"/>
              </w:rPr>
              <w:t xml:space="preserve">, R.R., </w:t>
            </w:r>
            <w:proofErr w:type="spellStart"/>
            <w:r w:rsidRPr="00E65F65">
              <w:rPr>
                <w:sz w:val="21"/>
                <w:lang w:val="en-US"/>
              </w:rPr>
              <w:t>Bazzi</w:t>
            </w:r>
            <w:proofErr w:type="spellEnd"/>
            <w:r w:rsidRPr="00E65F65">
              <w:rPr>
                <w:sz w:val="21"/>
                <w:lang w:val="en-US"/>
              </w:rPr>
              <w:t xml:space="preserve">, S. (2012), “Counting </w:t>
            </w:r>
            <w:proofErr w:type="spellStart"/>
            <w:r w:rsidRPr="00E65F65">
              <w:rPr>
                <w:sz w:val="21"/>
                <w:lang w:val="en-US"/>
              </w:rPr>
              <w:t>chíckens</w:t>
            </w:r>
            <w:proofErr w:type="spellEnd"/>
            <w:r w:rsidRPr="00E65F65">
              <w:rPr>
                <w:sz w:val="21"/>
                <w:lang w:val="en-US"/>
              </w:rPr>
              <w:t xml:space="preserve"> when they hatch: timing and the effects of aid on growth”, </w:t>
            </w:r>
            <w:r w:rsidRPr="00E65F65">
              <w:rPr>
                <w:i/>
                <w:sz w:val="21"/>
                <w:lang w:val="en-US"/>
              </w:rPr>
              <w:t>Economic Journal</w:t>
            </w:r>
            <w:r w:rsidRPr="00E65F65">
              <w:rPr>
                <w:sz w:val="21"/>
                <w:lang w:val="en-US"/>
              </w:rPr>
              <w:t xml:space="preserve"> 112 (June), 590–617.</w:t>
            </w:r>
          </w:p>
          <w:p w14:paraId="31A59E32" w14:textId="77777777" w:rsidR="00E65F65" w:rsidRPr="00E65F65" w:rsidRDefault="00E65F65" w:rsidP="00E65F65">
            <w:pPr>
              <w:pStyle w:val="BodyTextIndent"/>
              <w:spacing w:after="60" w:line="240" w:lineRule="auto"/>
              <w:rPr>
                <w:sz w:val="21"/>
                <w:lang w:val="en-US"/>
              </w:rPr>
            </w:pPr>
            <w:proofErr w:type="spellStart"/>
            <w:r w:rsidRPr="00E65F65">
              <w:rPr>
                <w:sz w:val="21"/>
                <w:lang w:val="en-US"/>
              </w:rPr>
              <w:t>Rajan</w:t>
            </w:r>
            <w:proofErr w:type="spellEnd"/>
            <w:r w:rsidRPr="00E65F65">
              <w:rPr>
                <w:sz w:val="21"/>
                <w:lang w:val="en-US"/>
              </w:rPr>
              <w:t>, Raghuram G., and Arvind Subramanian. 2008. "Aid and growth: What does the cross-country evidence really show?" </w:t>
            </w:r>
            <w:r w:rsidRPr="00E65F65">
              <w:rPr>
                <w:i/>
                <w:iCs/>
                <w:sz w:val="21"/>
                <w:lang w:val="en-US"/>
              </w:rPr>
              <w:t>The Review of economics and Statistics</w:t>
            </w:r>
            <w:r w:rsidRPr="00E65F65">
              <w:rPr>
                <w:sz w:val="21"/>
                <w:lang w:val="en-US"/>
              </w:rPr>
              <w:t> 90(4): 643-665.</w:t>
            </w:r>
          </w:p>
          <w:p w14:paraId="6FDA01F0" w14:textId="1449C6AB" w:rsidR="00E24A3C" w:rsidRPr="00E65F65" w:rsidRDefault="00E65F65" w:rsidP="00E65F65">
            <w:pPr>
              <w:pStyle w:val="BodyTextIndent"/>
              <w:spacing w:after="60" w:line="240" w:lineRule="auto"/>
              <w:rPr>
                <w:sz w:val="21"/>
                <w:lang w:val="en-US"/>
              </w:rPr>
            </w:pPr>
            <w:proofErr w:type="spellStart"/>
            <w:r w:rsidRPr="00E65F65">
              <w:rPr>
                <w:sz w:val="21"/>
                <w:lang w:val="en-US"/>
              </w:rPr>
              <w:t>Maruta</w:t>
            </w:r>
            <w:proofErr w:type="spellEnd"/>
            <w:r w:rsidRPr="00E65F65">
              <w:rPr>
                <w:sz w:val="21"/>
                <w:lang w:val="en-US"/>
              </w:rPr>
              <w:t xml:space="preserve">, </w:t>
            </w:r>
            <w:proofErr w:type="spellStart"/>
            <w:r w:rsidRPr="00E65F65">
              <w:rPr>
                <w:sz w:val="21"/>
                <w:lang w:val="en-US"/>
              </w:rPr>
              <w:t>Admasu</w:t>
            </w:r>
            <w:proofErr w:type="spellEnd"/>
            <w:r w:rsidRPr="00E65F65">
              <w:rPr>
                <w:sz w:val="21"/>
                <w:lang w:val="en-US"/>
              </w:rPr>
              <w:t xml:space="preserve"> Asfaw, Banerjee, </w:t>
            </w:r>
            <w:proofErr w:type="spellStart"/>
            <w:r w:rsidRPr="00E65F65">
              <w:rPr>
                <w:sz w:val="21"/>
                <w:lang w:val="en-US"/>
              </w:rPr>
              <w:t>Rajabrata</w:t>
            </w:r>
            <w:proofErr w:type="spellEnd"/>
            <w:r w:rsidRPr="00E65F65">
              <w:rPr>
                <w:sz w:val="21"/>
                <w:lang w:val="en-US"/>
              </w:rPr>
              <w:t xml:space="preserve"> and Tony </w:t>
            </w:r>
            <w:proofErr w:type="spellStart"/>
            <w:r w:rsidRPr="00E65F65">
              <w:rPr>
                <w:sz w:val="21"/>
                <w:lang w:val="en-US"/>
              </w:rPr>
              <w:t>Cavoli</w:t>
            </w:r>
            <w:proofErr w:type="spellEnd"/>
            <w:r w:rsidRPr="00E65F65">
              <w:rPr>
                <w:sz w:val="21"/>
                <w:lang w:val="en-US"/>
              </w:rPr>
              <w:t>. 2020. "Foreign aid, institutional quality and economic growth: Evidence from the developing world", </w:t>
            </w:r>
            <w:r w:rsidRPr="00E65F65">
              <w:rPr>
                <w:i/>
                <w:iCs/>
                <w:sz w:val="21"/>
                <w:lang w:val="en-US"/>
              </w:rPr>
              <w:t>Economic Modelling</w:t>
            </w:r>
            <w:r w:rsidRPr="00E65F65">
              <w:rPr>
                <w:sz w:val="21"/>
                <w:lang w:val="en-US"/>
              </w:rPr>
              <w:t> 89: 444-463.</w:t>
            </w:r>
          </w:p>
        </w:tc>
      </w:tr>
      <w:tr w:rsidR="00462CEE" w:rsidRPr="00EA0F90" w14:paraId="455D9370" w14:textId="77777777" w:rsidTr="007A1A31">
        <w:trPr>
          <w:trHeight w:val="425"/>
        </w:trPr>
        <w:tc>
          <w:tcPr>
            <w:tcW w:w="779" w:type="dxa"/>
            <w:shd w:val="clear" w:color="auto" w:fill="FFFFFF" w:themeFill="background1"/>
          </w:tcPr>
          <w:p w14:paraId="1829B336" w14:textId="0B263DA1" w:rsidR="00462CEE" w:rsidRDefault="00EA0F90" w:rsidP="007A1A31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462CEE">
              <w:rPr>
                <w:sz w:val="20"/>
                <w:lang w:val="en-US"/>
              </w:rPr>
              <w:t>/1</w:t>
            </w:r>
            <w:r w:rsidR="00453585">
              <w:rPr>
                <w:sz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12CCD5EB" w14:textId="513FAE43" w:rsidR="00462CEE" w:rsidRPr="00067DF8" w:rsidRDefault="00453585" w:rsidP="007A1A31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13-15</w:t>
            </w:r>
          </w:p>
        </w:tc>
        <w:tc>
          <w:tcPr>
            <w:tcW w:w="850" w:type="dxa"/>
            <w:shd w:val="clear" w:color="auto" w:fill="FFFFFF" w:themeFill="background1"/>
          </w:tcPr>
          <w:p w14:paraId="57374DCB" w14:textId="77777777" w:rsidR="00462CEE" w:rsidRPr="00067DF8" w:rsidRDefault="00462CEE" w:rsidP="007A1A31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</w:t>
            </w:r>
          </w:p>
        </w:tc>
        <w:tc>
          <w:tcPr>
            <w:tcW w:w="7088" w:type="dxa"/>
            <w:shd w:val="clear" w:color="auto" w:fill="FFFFFF" w:themeFill="background1"/>
          </w:tcPr>
          <w:p w14:paraId="7FB05223" w14:textId="1C2BC7E0" w:rsidR="00462CEE" w:rsidRPr="0011047F" w:rsidRDefault="00462CEE" w:rsidP="007A1A31">
            <w:pPr>
              <w:pStyle w:val="BodyTextIndent"/>
              <w:spacing w:after="60" w:line="240" w:lineRule="auto"/>
              <w:rPr>
                <w:b/>
                <w:bCs/>
                <w:sz w:val="20"/>
                <w:lang w:val="en-US"/>
              </w:rPr>
            </w:pPr>
            <w:r w:rsidRPr="0011047F">
              <w:rPr>
                <w:b/>
                <w:bCs/>
                <w:sz w:val="20"/>
                <w:lang w:val="en-US"/>
              </w:rPr>
              <w:t xml:space="preserve">Design and Evaluation of </w:t>
            </w:r>
            <w:r w:rsidR="0011047F">
              <w:rPr>
                <w:b/>
                <w:bCs/>
                <w:sz w:val="20"/>
                <w:lang w:val="en-US"/>
              </w:rPr>
              <w:t>A</w:t>
            </w:r>
            <w:r w:rsidRPr="0011047F">
              <w:rPr>
                <w:b/>
                <w:bCs/>
                <w:sz w:val="20"/>
                <w:lang w:val="en-US"/>
              </w:rPr>
              <w:t xml:space="preserve">id </w:t>
            </w:r>
            <w:r w:rsidR="0011047F">
              <w:rPr>
                <w:b/>
                <w:bCs/>
                <w:sz w:val="20"/>
                <w:lang w:val="en-US"/>
              </w:rPr>
              <w:t>P</w:t>
            </w:r>
            <w:r w:rsidRPr="0011047F">
              <w:rPr>
                <w:b/>
                <w:bCs/>
                <w:sz w:val="20"/>
                <w:lang w:val="en-US"/>
              </w:rPr>
              <w:t xml:space="preserve">rojects </w:t>
            </w:r>
          </w:p>
          <w:p w14:paraId="2A4C1069" w14:textId="77777777" w:rsidR="00462CEE" w:rsidRPr="00067DF8" w:rsidRDefault="00462CEE" w:rsidP="007A1A31">
            <w:pPr>
              <w:pStyle w:val="BodyTextIndent"/>
              <w:spacing w:after="60" w:line="240" w:lineRule="auto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 xml:space="preserve">Rogers, Patricia J. 2008. Using </w:t>
            </w:r>
            <w:proofErr w:type="spellStart"/>
            <w:r w:rsidRPr="00067DF8">
              <w:rPr>
                <w:sz w:val="20"/>
                <w:lang w:val="en-US"/>
              </w:rPr>
              <w:t>Programme</w:t>
            </w:r>
            <w:proofErr w:type="spellEnd"/>
            <w:r w:rsidRPr="00067DF8">
              <w:rPr>
                <w:sz w:val="20"/>
                <w:lang w:val="en-US"/>
              </w:rPr>
              <w:t xml:space="preserve"> Theory to Evaluate Complicated and Complex Interventions. Evaluation 2008 14: 29</w:t>
            </w:r>
          </w:p>
          <w:p w14:paraId="431E642F" w14:textId="77777777" w:rsidR="00462CEE" w:rsidRPr="00067DF8" w:rsidRDefault="00462CEE" w:rsidP="007A1A31">
            <w:pPr>
              <w:pStyle w:val="BodyTextIndent"/>
              <w:spacing w:after="60" w:line="240" w:lineRule="auto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>NONIE. 2009. Impact Evaluations and Development – NONIE Guidance on Impact Evaluation. Available at: http://siteresources.worldbank.org/EXTOED/Resources/nonie_guidance.pdf</w:t>
            </w:r>
          </w:p>
          <w:p w14:paraId="7FF64952" w14:textId="77777777" w:rsidR="00462CEE" w:rsidRPr="00067DF8" w:rsidRDefault="00462CEE" w:rsidP="007A1A31">
            <w:pPr>
              <w:pStyle w:val="BodyTextIndent"/>
              <w:spacing w:after="60" w:line="240" w:lineRule="auto"/>
              <w:rPr>
                <w:sz w:val="20"/>
                <w:lang w:val="en-US"/>
              </w:rPr>
            </w:pPr>
            <w:r w:rsidRPr="00067DF8">
              <w:rPr>
                <w:i/>
                <w:sz w:val="20"/>
                <w:lang w:val="en-US"/>
              </w:rPr>
              <w:t>Supplementary readings:</w:t>
            </w:r>
            <w:r w:rsidRPr="00067DF8">
              <w:rPr>
                <w:sz w:val="20"/>
                <w:lang w:val="en-US"/>
              </w:rPr>
              <w:t xml:space="preserve"> </w:t>
            </w:r>
          </w:p>
          <w:p w14:paraId="2667BE5C" w14:textId="77777777" w:rsidR="00462CEE" w:rsidRPr="00067DF8" w:rsidRDefault="00462CEE" w:rsidP="007A1A31">
            <w:pPr>
              <w:pStyle w:val="BodyTextIndent"/>
              <w:spacing w:after="60" w:line="240" w:lineRule="auto"/>
              <w:rPr>
                <w:sz w:val="20"/>
                <w:lang w:val="en-US"/>
              </w:rPr>
            </w:pPr>
            <w:r w:rsidRPr="00067DF8">
              <w:rPr>
                <w:sz w:val="20"/>
                <w:lang w:val="en-GB"/>
              </w:rPr>
              <w:t xml:space="preserve">Holland, Jeremy; </w:t>
            </w:r>
            <w:proofErr w:type="spellStart"/>
            <w:r w:rsidRPr="00067DF8">
              <w:rPr>
                <w:sz w:val="20"/>
                <w:lang w:val="en-GB"/>
              </w:rPr>
              <w:t>Thirkell</w:t>
            </w:r>
            <w:proofErr w:type="spellEnd"/>
            <w:r w:rsidRPr="00067DF8">
              <w:rPr>
                <w:sz w:val="20"/>
                <w:lang w:val="en-GB"/>
              </w:rPr>
              <w:t xml:space="preserve">, Allyson. 2009. Measuring Chance and Results in Voice and Accountability Work. </w:t>
            </w:r>
            <w:r w:rsidRPr="00067DF8">
              <w:rPr>
                <w:i/>
                <w:sz w:val="20"/>
                <w:lang w:val="en-GB"/>
              </w:rPr>
              <w:t>Social Development Direct</w:t>
            </w:r>
            <w:r w:rsidRPr="00067DF8">
              <w:rPr>
                <w:sz w:val="20"/>
                <w:lang w:val="en-GB"/>
              </w:rPr>
              <w:t xml:space="preserve"> (DFID Working Paper, 34)</w:t>
            </w:r>
          </w:p>
          <w:p w14:paraId="74FE94BA" w14:textId="77777777" w:rsidR="00462CEE" w:rsidRPr="00067DF8" w:rsidRDefault="00462CEE" w:rsidP="007A1A31">
            <w:pPr>
              <w:pStyle w:val="BodyTextIndent"/>
              <w:spacing w:after="60" w:line="240" w:lineRule="auto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>UNDEF. 2010. Project Document Guidelines. Available at: http://www.un.org/democracyfund/sites/www.un.org.democracyfund/files/file_attach/5R_CSOP_EA_guidelines_ENG.doc</w:t>
            </w:r>
          </w:p>
          <w:p w14:paraId="659CA472" w14:textId="77777777" w:rsidR="00462CEE" w:rsidRPr="00067DF8" w:rsidRDefault="00462CEE" w:rsidP="007A1A31">
            <w:pPr>
              <w:pStyle w:val="BodyTextIndent"/>
              <w:spacing w:after="60" w:line="240" w:lineRule="auto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>UNDP Sudan. 2012. Accountability and Citizens’ Participation Project. Available at: http://www.sd.undp.org/content/sudan/en/home/operations/projects/democratic_governance/acp_project.html</w:t>
            </w:r>
            <w:r w:rsidRPr="00067DF8" w:rsidDel="00E20FCD">
              <w:rPr>
                <w:sz w:val="20"/>
                <w:lang w:val="en-US"/>
              </w:rPr>
              <w:t xml:space="preserve"> </w:t>
            </w:r>
            <w:r w:rsidRPr="00067DF8">
              <w:rPr>
                <w:sz w:val="20"/>
                <w:lang w:val="en-US"/>
              </w:rPr>
              <w:t xml:space="preserve"> </w:t>
            </w:r>
          </w:p>
        </w:tc>
      </w:tr>
      <w:tr w:rsidR="00B54993" w:rsidRPr="00EA0F90" w14:paraId="6AC3B796" w14:textId="77777777" w:rsidTr="00453585">
        <w:trPr>
          <w:trHeight w:val="425"/>
        </w:trPr>
        <w:tc>
          <w:tcPr>
            <w:tcW w:w="779" w:type="dxa"/>
            <w:shd w:val="clear" w:color="auto" w:fill="FFFFFF" w:themeFill="background1"/>
            <w:vAlign w:val="center"/>
          </w:tcPr>
          <w:p w14:paraId="4F488A91" w14:textId="7C699D93" w:rsidR="00B54993" w:rsidRPr="00067DF8" w:rsidRDefault="00453585" w:rsidP="00453585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  <w:r w:rsidR="00B54993">
              <w:rPr>
                <w:sz w:val="20"/>
                <w:lang w:val="en-US"/>
              </w:rPr>
              <w:t>/1</w:t>
            </w:r>
            <w:r w:rsidR="00F37230">
              <w:rPr>
                <w:sz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F8CC78" w14:textId="56707772" w:rsidR="00B54993" w:rsidRPr="00067DF8" w:rsidRDefault="00462CEE" w:rsidP="00453585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0C4AAE">
              <w:rPr>
                <w:sz w:val="20"/>
                <w:lang w:val="en-US"/>
              </w:rPr>
              <w:t>5</w:t>
            </w:r>
            <w:r w:rsidR="00F37230">
              <w:rPr>
                <w:sz w:val="20"/>
                <w:lang w:val="en-US"/>
              </w:rPr>
              <w:t>:00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C8F1BB" w14:textId="77777777" w:rsidR="00B54993" w:rsidRPr="00067DF8" w:rsidRDefault="00B54993" w:rsidP="00453585">
            <w:pPr>
              <w:pStyle w:val="BodyTextIndent"/>
              <w:rPr>
                <w:sz w:val="20"/>
                <w:lang w:val="en-US"/>
              </w:rPr>
            </w:pP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3AEE807B" w14:textId="771B5CDC" w:rsidR="00B54993" w:rsidRPr="000C4AAE" w:rsidRDefault="00A16505" w:rsidP="00453585">
            <w:pPr>
              <w:pStyle w:val="BodyTextIndent"/>
              <w:spacing w:after="60" w:line="240" w:lineRule="auto"/>
              <w:rPr>
                <w:b/>
                <w:bCs/>
                <w:sz w:val="20"/>
                <w:lang w:val="en-US"/>
              </w:rPr>
            </w:pPr>
            <w:r w:rsidRPr="000C4AAE">
              <w:rPr>
                <w:b/>
                <w:bCs/>
                <w:sz w:val="20"/>
                <w:lang w:val="en-US"/>
              </w:rPr>
              <w:t>Deadline</w:t>
            </w:r>
            <w:r w:rsidR="000C4AAE" w:rsidRPr="000C4AAE">
              <w:rPr>
                <w:b/>
                <w:bCs/>
                <w:sz w:val="20"/>
                <w:lang w:val="en-US"/>
              </w:rPr>
              <w:t>:</w:t>
            </w:r>
            <w:r w:rsidRPr="000C4AAE">
              <w:rPr>
                <w:b/>
                <w:bCs/>
                <w:sz w:val="20"/>
                <w:lang w:val="en-US"/>
              </w:rPr>
              <w:t xml:space="preserve"> </w:t>
            </w:r>
            <w:r w:rsidR="00B54993" w:rsidRPr="000C4AAE">
              <w:rPr>
                <w:b/>
                <w:bCs/>
                <w:sz w:val="20"/>
                <w:lang w:val="en-US"/>
              </w:rPr>
              <w:t xml:space="preserve">Paper on Development Cooperation: A bird’s-eye view </w:t>
            </w:r>
          </w:p>
        </w:tc>
      </w:tr>
      <w:tr w:rsidR="000C4AAE" w:rsidRPr="00EA0F90" w14:paraId="0818A532" w14:textId="77777777" w:rsidTr="00FB44A9">
        <w:trPr>
          <w:trHeight w:val="425"/>
        </w:trPr>
        <w:tc>
          <w:tcPr>
            <w:tcW w:w="779" w:type="dxa"/>
            <w:shd w:val="clear" w:color="auto" w:fill="FFFFFF" w:themeFill="background1"/>
            <w:vAlign w:val="center"/>
          </w:tcPr>
          <w:p w14:paraId="5E1607B0" w14:textId="2D675202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  <w:r w:rsidRPr="00067DF8">
              <w:rPr>
                <w:sz w:val="20"/>
                <w:lang w:val="en-US"/>
              </w:rPr>
              <w:t>/1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E31CF58" w14:textId="10FFF9DA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 w:rsidRPr="00067DF8">
              <w:rPr>
                <w:sz w:val="20"/>
              </w:rPr>
              <w:t>1</w:t>
            </w:r>
            <w:r>
              <w:rPr>
                <w:sz w:val="20"/>
              </w:rPr>
              <w:t>3.00-14.15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704AB5" w14:textId="4AD957E1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MN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53EEB813" w14:textId="7C688F49" w:rsidR="000C4AAE" w:rsidRPr="00067DF8" w:rsidRDefault="000C4AAE" w:rsidP="000C4AAE">
            <w:pPr>
              <w:pStyle w:val="BodyTextIndent"/>
              <w:spacing w:after="60" w:line="240" w:lineRule="auto"/>
              <w:rPr>
                <w:sz w:val="20"/>
                <w:lang w:val="en-US"/>
              </w:rPr>
            </w:pPr>
            <w:r w:rsidRPr="00F81E6D">
              <w:rPr>
                <w:sz w:val="20"/>
                <w:highlight w:val="lightGray"/>
                <w:lang w:val="en-US"/>
              </w:rPr>
              <w:t>SEMINAR 4</w:t>
            </w:r>
            <w:r>
              <w:rPr>
                <w:sz w:val="20"/>
                <w:lang w:val="en-US"/>
              </w:rPr>
              <w:t>:</w:t>
            </w:r>
            <w:r w:rsidRPr="00067DF8">
              <w:rPr>
                <w:sz w:val="20"/>
                <w:lang w:val="en-US"/>
              </w:rPr>
              <w:t xml:space="preserve"> Development Cooperation: A bird</w:t>
            </w:r>
            <w:r>
              <w:rPr>
                <w:sz w:val="20"/>
                <w:lang w:val="en-US"/>
              </w:rPr>
              <w:t>’</w:t>
            </w:r>
            <w:r w:rsidRPr="00067DF8">
              <w:rPr>
                <w:sz w:val="20"/>
                <w:lang w:val="en-US"/>
              </w:rPr>
              <w:t>s-eye view</w:t>
            </w:r>
            <w:r>
              <w:rPr>
                <w:sz w:val="20"/>
                <w:lang w:val="en-US"/>
              </w:rPr>
              <w:t xml:space="preserve"> (group 2)</w:t>
            </w:r>
          </w:p>
        </w:tc>
      </w:tr>
      <w:tr w:rsidR="000C4AAE" w:rsidRPr="00EA0F90" w14:paraId="52CD051C" w14:textId="77777777" w:rsidTr="00FB44A9">
        <w:trPr>
          <w:trHeight w:val="425"/>
        </w:trPr>
        <w:tc>
          <w:tcPr>
            <w:tcW w:w="779" w:type="dxa"/>
            <w:shd w:val="clear" w:color="auto" w:fill="FFFFFF" w:themeFill="background1"/>
            <w:vAlign w:val="center"/>
          </w:tcPr>
          <w:p w14:paraId="7EAF170A" w14:textId="77777777" w:rsidR="000C4AAE" w:rsidRDefault="000C4AAE" w:rsidP="000C4AAE">
            <w:pPr>
              <w:pStyle w:val="BodyTextInden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13D272" w14:textId="546D5C3D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</w:rPr>
              <w:t>14.30-15.45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7D23F8" w14:textId="458A2022" w:rsidR="000C4AAE" w:rsidRDefault="000C4AAE" w:rsidP="000C4AAE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MN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50D9E903" w14:textId="0253B895" w:rsidR="000C4AAE" w:rsidRPr="00F81E6D" w:rsidRDefault="000C4AAE" w:rsidP="000C4AAE">
            <w:pPr>
              <w:pStyle w:val="BodyTextIndent"/>
              <w:spacing w:after="60" w:line="240" w:lineRule="auto"/>
              <w:rPr>
                <w:sz w:val="20"/>
                <w:highlight w:val="lightGray"/>
                <w:lang w:val="en-US"/>
              </w:rPr>
            </w:pPr>
            <w:r w:rsidRPr="00F81E6D">
              <w:rPr>
                <w:sz w:val="20"/>
                <w:highlight w:val="lightGray"/>
                <w:lang w:val="en-US"/>
              </w:rPr>
              <w:t>SEMINAR 4</w:t>
            </w:r>
            <w:r>
              <w:rPr>
                <w:sz w:val="20"/>
                <w:lang w:val="en-US"/>
              </w:rPr>
              <w:t>:</w:t>
            </w:r>
            <w:r w:rsidRPr="00067DF8">
              <w:rPr>
                <w:sz w:val="20"/>
                <w:lang w:val="en-US"/>
              </w:rPr>
              <w:t xml:space="preserve"> Development Cooperation: A bird</w:t>
            </w:r>
            <w:r>
              <w:rPr>
                <w:sz w:val="20"/>
                <w:lang w:val="en-US"/>
              </w:rPr>
              <w:t>’</w:t>
            </w:r>
            <w:r w:rsidRPr="00067DF8">
              <w:rPr>
                <w:sz w:val="20"/>
                <w:lang w:val="en-US"/>
              </w:rPr>
              <w:t>s-eye view</w:t>
            </w:r>
            <w:r>
              <w:rPr>
                <w:sz w:val="20"/>
                <w:lang w:val="en-US"/>
              </w:rPr>
              <w:t xml:space="preserve"> (group 1)</w:t>
            </w:r>
          </w:p>
        </w:tc>
      </w:tr>
      <w:tr w:rsidR="000C4AAE" w:rsidRPr="00EA0F90" w14:paraId="59C25DB2" w14:textId="77777777" w:rsidTr="00633F91">
        <w:trPr>
          <w:trHeight w:val="425"/>
        </w:trPr>
        <w:tc>
          <w:tcPr>
            <w:tcW w:w="779" w:type="dxa"/>
            <w:shd w:val="clear" w:color="auto" w:fill="FFFFFF" w:themeFill="background1"/>
            <w:vAlign w:val="center"/>
          </w:tcPr>
          <w:p w14:paraId="3490EDB7" w14:textId="77777777" w:rsidR="000C4AAE" w:rsidRDefault="000C4AAE" w:rsidP="000C4AAE">
            <w:pPr>
              <w:pStyle w:val="BodyTextInden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FC6743" w14:textId="031196FD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</w:rPr>
              <w:t>16.0</w:t>
            </w:r>
            <w:r w:rsidR="00ED1D81">
              <w:rPr>
                <w:sz w:val="20"/>
              </w:rPr>
              <w:t>0</w:t>
            </w:r>
            <w:r>
              <w:rPr>
                <w:sz w:val="20"/>
              </w:rPr>
              <w:t>-17.0</w:t>
            </w:r>
            <w:r w:rsidR="00ED1D81"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1250C1" w14:textId="77777777" w:rsidR="000C4AAE" w:rsidRDefault="000C4AAE" w:rsidP="000C4AAE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MN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35B0C6AB" w14:textId="77777777" w:rsidR="000C4AAE" w:rsidRPr="00F81E6D" w:rsidRDefault="000C4AAE" w:rsidP="000C4AAE">
            <w:pPr>
              <w:pStyle w:val="BodyTextIndent"/>
              <w:spacing w:after="60" w:line="240" w:lineRule="auto"/>
              <w:rPr>
                <w:sz w:val="20"/>
                <w:highlight w:val="lightGray"/>
                <w:lang w:val="en-US"/>
              </w:rPr>
            </w:pPr>
            <w:r w:rsidRPr="00F81E6D">
              <w:rPr>
                <w:sz w:val="20"/>
                <w:highlight w:val="lightGray"/>
                <w:lang w:val="en-US"/>
              </w:rPr>
              <w:t>SEMINAR 4</w:t>
            </w:r>
            <w:r>
              <w:rPr>
                <w:sz w:val="20"/>
                <w:lang w:val="en-US"/>
              </w:rPr>
              <w:t>:</w:t>
            </w:r>
            <w:r w:rsidRPr="00067DF8">
              <w:rPr>
                <w:sz w:val="20"/>
                <w:lang w:val="en-US"/>
              </w:rPr>
              <w:t xml:space="preserve"> Development Cooperation: A bird</w:t>
            </w:r>
            <w:r>
              <w:rPr>
                <w:sz w:val="20"/>
                <w:lang w:val="en-US"/>
              </w:rPr>
              <w:t>’</w:t>
            </w:r>
            <w:r w:rsidRPr="00067DF8">
              <w:rPr>
                <w:sz w:val="20"/>
                <w:lang w:val="en-US"/>
              </w:rPr>
              <w:t>s-eye view</w:t>
            </w:r>
            <w:r>
              <w:rPr>
                <w:sz w:val="20"/>
                <w:lang w:val="en-US"/>
              </w:rPr>
              <w:t xml:space="preserve"> (online)</w:t>
            </w:r>
          </w:p>
        </w:tc>
      </w:tr>
      <w:tr w:rsidR="00393D9B" w:rsidRPr="00EA0F90" w14:paraId="78A966C4" w14:textId="77777777" w:rsidTr="00462CEE">
        <w:trPr>
          <w:trHeight w:val="588"/>
        </w:trPr>
        <w:tc>
          <w:tcPr>
            <w:tcW w:w="779" w:type="dxa"/>
            <w:shd w:val="clear" w:color="auto" w:fill="FFFFFF" w:themeFill="background1"/>
            <w:vAlign w:val="center"/>
          </w:tcPr>
          <w:p w14:paraId="0B268EEC" w14:textId="52D4EB53" w:rsidR="00393D9B" w:rsidRDefault="00393D9B" w:rsidP="00393D9B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10/12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45AFC0" w14:textId="196FE50F" w:rsidR="00393D9B" w:rsidRPr="00067DF8" w:rsidRDefault="00393D9B" w:rsidP="00393D9B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0C4AAE">
              <w:rPr>
                <w:sz w:val="20"/>
                <w:lang w:val="en-US"/>
              </w:rPr>
              <w:t>5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74458C" w14:textId="77777777" w:rsidR="00393D9B" w:rsidRPr="00067DF8" w:rsidRDefault="00393D9B" w:rsidP="00393D9B">
            <w:pPr>
              <w:pStyle w:val="BodyTextIndent"/>
              <w:rPr>
                <w:sz w:val="20"/>
                <w:lang w:val="en-US"/>
              </w:rPr>
            </w:pP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0C9CDBD0" w14:textId="6EBB0913" w:rsidR="00393D9B" w:rsidRPr="000C4AAE" w:rsidRDefault="00393D9B" w:rsidP="00393D9B">
            <w:pPr>
              <w:pStyle w:val="BodyTextIndent"/>
              <w:rPr>
                <w:b/>
                <w:bCs/>
                <w:sz w:val="20"/>
                <w:highlight w:val="lightGray"/>
                <w:lang w:val="en-US"/>
              </w:rPr>
            </w:pPr>
            <w:r w:rsidRPr="000C4AAE">
              <w:rPr>
                <w:b/>
                <w:bCs/>
                <w:sz w:val="20"/>
                <w:lang w:val="en-US"/>
              </w:rPr>
              <w:t>Deadline: Design of aid projects</w:t>
            </w:r>
          </w:p>
        </w:tc>
      </w:tr>
      <w:tr w:rsidR="000C4AAE" w:rsidRPr="00EA0F90" w14:paraId="37F24FB8" w14:textId="77777777" w:rsidTr="00462CEE">
        <w:trPr>
          <w:trHeight w:val="588"/>
        </w:trPr>
        <w:tc>
          <w:tcPr>
            <w:tcW w:w="779" w:type="dxa"/>
            <w:shd w:val="clear" w:color="auto" w:fill="FFFFFF" w:themeFill="background1"/>
            <w:vAlign w:val="center"/>
          </w:tcPr>
          <w:p w14:paraId="29799B5C" w14:textId="378981B2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  <w:r w:rsidRPr="00067DF8">
              <w:rPr>
                <w:sz w:val="20"/>
                <w:lang w:val="en-US"/>
              </w:rPr>
              <w:t>/12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49D09E" w14:textId="7F10BA98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 w:rsidRPr="00067DF8">
              <w:rPr>
                <w:sz w:val="20"/>
              </w:rPr>
              <w:t>1</w:t>
            </w:r>
            <w:r>
              <w:rPr>
                <w:sz w:val="20"/>
              </w:rPr>
              <w:t>3.00-14.15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3C8193" w14:textId="7595EB06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L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4243A3DE" w14:textId="2D457674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 w:rsidRPr="00F81E6D">
              <w:rPr>
                <w:sz w:val="20"/>
                <w:highlight w:val="lightGray"/>
                <w:lang w:val="en-US"/>
              </w:rPr>
              <w:t>SEMINAR 5</w:t>
            </w:r>
            <w:r>
              <w:rPr>
                <w:sz w:val="20"/>
                <w:lang w:val="en-US"/>
              </w:rPr>
              <w:t>:</w:t>
            </w:r>
            <w:r w:rsidRPr="00067DF8">
              <w:rPr>
                <w:sz w:val="20"/>
                <w:lang w:val="en-US"/>
              </w:rPr>
              <w:t xml:space="preserve"> Design of Aid</w:t>
            </w:r>
            <w:r>
              <w:rPr>
                <w:sz w:val="20"/>
                <w:lang w:val="en-US"/>
              </w:rPr>
              <w:t xml:space="preserve"> –</w:t>
            </w:r>
            <w:r w:rsidRPr="00067DF8">
              <w:rPr>
                <w:sz w:val="20"/>
                <w:lang w:val="en-US"/>
              </w:rPr>
              <w:t xml:space="preserve"> Project</w:t>
            </w:r>
            <w:r>
              <w:rPr>
                <w:sz w:val="20"/>
                <w:lang w:val="en-US"/>
              </w:rPr>
              <w:t xml:space="preserve"> documents (group 1)</w:t>
            </w:r>
          </w:p>
        </w:tc>
      </w:tr>
      <w:tr w:rsidR="000C4AAE" w:rsidRPr="00EA0F90" w14:paraId="22C93032" w14:textId="77777777" w:rsidTr="00462CEE">
        <w:trPr>
          <w:trHeight w:val="588"/>
        </w:trPr>
        <w:tc>
          <w:tcPr>
            <w:tcW w:w="779" w:type="dxa"/>
            <w:shd w:val="clear" w:color="auto" w:fill="FFFFFF" w:themeFill="background1"/>
            <w:vAlign w:val="center"/>
          </w:tcPr>
          <w:p w14:paraId="5E8844B1" w14:textId="77777777" w:rsidR="000C4AAE" w:rsidRDefault="000C4AAE" w:rsidP="000C4AAE">
            <w:pPr>
              <w:pStyle w:val="BodyTextInden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C031AA" w14:textId="2917A19F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</w:rPr>
              <w:t>14.30-15.45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3E07CB" w14:textId="5410A2E7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L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3ABDEA10" w14:textId="4C198C13" w:rsidR="000C4AAE" w:rsidRPr="00F81E6D" w:rsidRDefault="000C4AAE" w:rsidP="000C4AAE">
            <w:pPr>
              <w:pStyle w:val="BodyTextIndent"/>
              <w:rPr>
                <w:sz w:val="20"/>
                <w:highlight w:val="lightGray"/>
                <w:lang w:val="en-US"/>
              </w:rPr>
            </w:pPr>
            <w:r w:rsidRPr="00F81E6D">
              <w:rPr>
                <w:sz w:val="20"/>
                <w:highlight w:val="lightGray"/>
                <w:lang w:val="en-US"/>
              </w:rPr>
              <w:t>SEMINAR 5</w:t>
            </w:r>
            <w:r>
              <w:rPr>
                <w:sz w:val="20"/>
                <w:lang w:val="en-US"/>
              </w:rPr>
              <w:t>:</w:t>
            </w:r>
            <w:r w:rsidRPr="00067DF8">
              <w:rPr>
                <w:sz w:val="20"/>
                <w:lang w:val="en-US"/>
              </w:rPr>
              <w:t xml:space="preserve"> Design of Aid </w:t>
            </w:r>
            <w:r>
              <w:rPr>
                <w:sz w:val="20"/>
                <w:lang w:val="en-US"/>
              </w:rPr>
              <w:t xml:space="preserve">– </w:t>
            </w:r>
            <w:r w:rsidRPr="00067DF8">
              <w:rPr>
                <w:sz w:val="20"/>
                <w:lang w:val="en-US"/>
              </w:rPr>
              <w:t>Project</w:t>
            </w:r>
            <w:r>
              <w:rPr>
                <w:sz w:val="20"/>
                <w:lang w:val="en-US"/>
              </w:rPr>
              <w:t xml:space="preserve"> document (group 2)</w:t>
            </w:r>
          </w:p>
        </w:tc>
      </w:tr>
      <w:tr w:rsidR="000C4AAE" w:rsidRPr="00EA0F90" w14:paraId="40FC992B" w14:textId="77777777" w:rsidTr="00690900">
        <w:trPr>
          <w:trHeight w:val="588"/>
        </w:trPr>
        <w:tc>
          <w:tcPr>
            <w:tcW w:w="779" w:type="dxa"/>
            <w:shd w:val="clear" w:color="auto" w:fill="FFFFFF" w:themeFill="background1"/>
            <w:vAlign w:val="center"/>
          </w:tcPr>
          <w:p w14:paraId="789BD0AD" w14:textId="77777777" w:rsidR="000C4AAE" w:rsidRDefault="000C4AAE" w:rsidP="000C4AAE">
            <w:pPr>
              <w:pStyle w:val="BodyTextInden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A1659A" w14:textId="4FDC4C19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</w:rPr>
              <w:t>16.0</w:t>
            </w:r>
            <w:r w:rsidR="00E96B7E">
              <w:rPr>
                <w:sz w:val="20"/>
              </w:rPr>
              <w:t>0</w:t>
            </w:r>
            <w:r>
              <w:rPr>
                <w:sz w:val="20"/>
              </w:rPr>
              <w:t>-17.0</w:t>
            </w:r>
            <w:r w:rsidR="00E96B7E"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C37606" w14:textId="77777777" w:rsidR="000C4AAE" w:rsidRPr="00067DF8" w:rsidRDefault="000C4AAE" w:rsidP="000C4AAE">
            <w:pPr>
              <w:pStyle w:val="BodyTextIndent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G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33939D0C" w14:textId="77777777" w:rsidR="000C4AAE" w:rsidRPr="00F81E6D" w:rsidRDefault="000C4AAE" w:rsidP="000C4AAE">
            <w:pPr>
              <w:pStyle w:val="BodyTextIndent"/>
              <w:rPr>
                <w:sz w:val="20"/>
                <w:highlight w:val="lightGray"/>
                <w:lang w:val="en-US"/>
              </w:rPr>
            </w:pPr>
            <w:r w:rsidRPr="00F81E6D">
              <w:rPr>
                <w:sz w:val="20"/>
                <w:highlight w:val="lightGray"/>
                <w:lang w:val="en-US"/>
              </w:rPr>
              <w:t>SEMINAR 5</w:t>
            </w:r>
            <w:r>
              <w:rPr>
                <w:sz w:val="20"/>
                <w:lang w:val="en-US"/>
              </w:rPr>
              <w:t>:</w:t>
            </w:r>
            <w:r w:rsidRPr="00067DF8">
              <w:rPr>
                <w:sz w:val="20"/>
                <w:lang w:val="en-US"/>
              </w:rPr>
              <w:t xml:space="preserve"> Design of Aid </w:t>
            </w:r>
            <w:r>
              <w:rPr>
                <w:sz w:val="20"/>
                <w:lang w:val="en-US"/>
              </w:rPr>
              <w:t xml:space="preserve">– </w:t>
            </w:r>
            <w:r w:rsidRPr="00067DF8">
              <w:rPr>
                <w:sz w:val="20"/>
                <w:lang w:val="en-US"/>
              </w:rPr>
              <w:t>Project</w:t>
            </w:r>
            <w:r>
              <w:rPr>
                <w:sz w:val="20"/>
                <w:lang w:val="en-US"/>
              </w:rPr>
              <w:t xml:space="preserve"> documents (online)</w:t>
            </w:r>
          </w:p>
        </w:tc>
      </w:tr>
      <w:tr w:rsidR="00393D9B" w:rsidRPr="0026245C" w14:paraId="673D3726" w14:textId="77777777" w:rsidTr="00462CEE">
        <w:trPr>
          <w:trHeight w:val="426"/>
        </w:trPr>
        <w:tc>
          <w:tcPr>
            <w:tcW w:w="779" w:type="dxa"/>
            <w:shd w:val="clear" w:color="auto" w:fill="FFFFFF" w:themeFill="background1"/>
            <w:vAlign w:val="center"/>
          </w:tcPr>
          <w:p w14:paraId="0CC3F6C9" w14:textId="00EE3D70" w:rsidR="00393D9B" w:rsidRDefault="00393D9B" w:rsidP="00393D9B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17/12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DF42A1" w14:textId="4772577D" w:rsidR="00393D9B" w:rsidRPr="00067DF8" w:rsidRDefault="00DD2501" w:rsidP="00393D9B">
            <w:pPr>
              <w:pStyle w:val="BodyTextIndent"/>
              <w:rPr>
                <w:sz w:val="20"/>
                <w:lang w:val="en-US"/>
              </w:rPr>
            </w:pPr>
            <w:r w:rsidRPr="00ED6C8A">
              <w:rPr>
                <w:sz w:val="20"/>
                <w:lang w:val="en-US"/>
              </w:rPr>
              <w:t>9-1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0BEA84" w14:textId="7BC95F77" w:rsidR="00393D9B" w:rsidRPr="00067DF8" w:rsidRDefault="00DD2501" w:rsidP="00393D9B">
            <w:pPr>
              <w:pStyle w:val="BodyTextIndent"/>
              <w:rPr>
                <w:sz w:val="20"/>
                <w:lang w:val="en-US"/>
              </w:rPr>
            </w:pPr>
            <w:r w:rsidRPr="00ED6C8A">
              <w:rPr>
                <w:sz w:val="20"/>
                <w:lang w:val="en-US"/>
              </w:rPr>
              <w:t>MN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28307D22" w14:textId="10165327" w:rsidR="00393D9B" w:rsidRPr="00F81E6D" w:rsidRDefault="00393D9B" w:rsidP="00393D9B">
            <w:pPr>
              <w:pStyle w:val="BodyTextIndent"/>
              <w:rPr>
                <w:sz w:val="20"/>
                <w:highlight w:val="lightGray"/>
                <w:lang w:val="en-US"/>
              </w:rPr>
            </w:pPr>
            <w:r>
              <w:rPr>
                <w:sz w:val="20"/>
                <w:lang w:val="en-US"/>
              </w:rPr>
              <w:t>Final</w:t>
            </w:r>
            <w:r w:rsidRPr="00067DF8">
              <w:rPr>
                <w:sz w:val="20"/>
                <w:lang w:val="en-US"/>
              </w:rPr>
              <w:t xml:space="preserve"> paper supervision</w:t>
            </w:r>
          </w:p>
        </w:tc>
      </w:tr>
      <w:tr w:rsidR="00393D9B" w:rsidRPr="00067DF8" w14:paraId="68FEA073" w14:textId="77777777" w:rsidTr="00462CEE">
        <w:trPr>
          <w:trHeight w:val="418"/>
        </w:trPr>
        <w:tc>
          <w:tcPr>
            <w:tcW w:w="779" w:type="dxa"/>
            <w:shd w:val="clear" w:color="auto" w:fill="FFFFFF" w:themeFill="background1"/>
            <w:vAlign w:val="center"/>
          </w:tcPr>
          <w:p w14:paraId="65E9180A" w14:textId="765D6F7E" w:rsidR="00393D9B" w:rsidRPr="00ED6C8A" w:rsidRDefault="00393D9B" w:rsidP="00393D9B">
            <w:pPr>
              <w:pStyle w:val="BodyTextIndent"/>
              <w:rPr>
                <w:sz w:val="20"/>
                <w:lang w:val="en-US"/>
              </w:rPr>
            </w:pPr>
            <w:r w:rsidRPr="00ED6C8A">
              <w:rPr>
                <w:sz w:val="20"/>
                <w:lang w:val="en-US"/>
              </w:rPr>
              <w:t>17/12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C56F6E" w14:textId="089326F6" w:rsidR="00393D9B" w:rsidRPr="00ED6C8A" w:rsidRDefault="00DD2501" w:rsidP="00393D9B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13-17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B0C5EF" w14:textId="047E4929" w:rsidR="00393D9B" w:rsidRPr="00ED6C8A" w:rsidRDefault="00DD2501" w:rsidP="00393D9B">
            <w:pPr>
              <w:pStyle w:val="BodyTextInden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MGr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08A625A3" w14:textId="7650AD8A" w:rsidR="00393D9B" w:rsidRPr="00067DF8" w:rsidRDefault="00393D9B" w:rsidP="00393D9B">
            <w:pPr>
              <w:pStyle w:val="BodyTextIndent"/>
              <w:rPr>
                <w:sz w:val="20"/>
                <w:lang w:val="en-US"/>
              </w:rPr>
            </w:pPr>
            <w:r w:rsidRPr="00ED6C8A">
              <w:rPr>
                <w:sz w:val="20"/>
                <w:lang w:val="en-US"/>
              </w:rPr>
              <w:t>Final paper supervisio</w:t>
            </w:r>
            <w:r>
              <w:rPr>
                <w:sz w:val="20"/>
                <w:lang w:val="en-US"/>
              </w:rPr>
              <w:t>n</w:t>
            </w:r>
          </w:p>
        </w:tc>
      </w:tr>
      <w:tr w:rsidR="00393D9B" w:rsidRPr="00067DF8" w14:paraId="36FBF0F6" w14:textId="77777777" w:rsidTr="00FB44A9">
        <w:trPr>
          <w:trHeight w:val="425"/>
        </w:trPr>
        <w:tc>
          <w:tcPr>
            <w:tcW w:w="779" w:type="dxa"/>
            <w:shd w:val="clear" w:color="auto" w:fill="FFFFFF" w:themeFill="background1"/>
          </w:tcPr>
          <w:p w14:paraId="0B5E4B80" w14:textId="7E070250" w:rsidR="00393D9B" w:rsidRPr="00067DF8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  <w:r w:rsidRPr="00067DF8">
              <w:rPr>
                <w:sz w:val="20"/>
                <w:lang w:val="en-US"/>
              </w:rPr>
              <w:t>/1</w:t>
            </w:r>
          </w:p>
        </w:tc>
        <w:tc>
          <w:tcPr>
            <w:tcW w:w="851" w:type="dxa"/>
            <w:shd w:val="clear" w:color="auto" w:fill="FFFFFF" w:themeFill="background1"/>
          </w:tcPr>
          <w:p w14:paraId="3B831A4F" w14:textId="6B3FC747" w:rsidR="00393D9B" w:rsidRPr="00067DF8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  <w:r w:rsidRPr="00067DF8">
              <w:rPr>
                <w:sz w:val="20"/>
                <w:lang w:val="en-US"/>
              </w:rPr>
              <w:t>.00</w:t>
            </w:r>
          </w:p>
        </w:tc>
        <w:tc>
          <w:tcPr>
            <w:tcW w:w="850" w:type="dxa"/>
            <w:shd w:val="clear" w:color="auto" w:fill="FFFFFF" w:themeFill="background1"/>
          </w:tcPr>
          <w:p w14:paraId="052D32E6" w14:textId="77777777" w:rsidR="00393D9B" w:rsidRPr="00067DF8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14:paraId="32064E70" w14:textId="5FB69F8A" w:rsidR="00393D9B" w:rsidRPr="00067DF8" w:rsidRDefault="00393D9B" w:rsidP="00393D9B">
            <w:pPr>
              <w:pStyle w:val="BodyTextIndent"/>
              <w:rPr>
                <w:sz w:val="20"/>
                <w:lang w:val="en-US"/>
              </w:rPr>
            </w:pPr>
            <w:r w:rsidRPr="000D4654">
              <w:rPr>
                <w:sz w:val="20"/>
                <w:highlight w:val="lightGray"/>
                <w:lang w:val="en-US"/>
              </w:rPr>
              <w:t>Deadline</w:t>
            </w:r>
            <w:r>
              <w:rPr>
                <w:sz w:val="20"/>
                <w:lang w:val="en-US"/>
              </w:rPr>
              <w:t>: Final</w:t>
            </w:r>
            <w:r w:rsidRPr="00067DF8">
              <w:rPr>
                <w:sz w:val="20"/>
                <w:lang w:val="en-US"/>
              </w:rPr>
              <w:t xml:space="preserve"> Papers </w:t>
            </w:r>
          </w:p>
        </w:tc>
      </w:tr>
      <w:tr w:rsidR="00393D9B" w:rsidRPr="00067DF8" w14:paraId="674F2DD4" w14:textId="77777777" w:rsidTr="00FB44A9">
        <w:trPr>
          <w:trHeight w:val="425"/>
        </w:trPr>
        <w:tc>
          <w:tcPr>
            <w:tcW w:w="779" w:type="dxa"/>
            <w:shd w:val="clear" w:color="auto" w:fill="FFFFFF" w:themeFill="background1"/>
          </w:tcPr>
          <w:p w14:paraId="7A57D1C6" w14:textId="76E96A8B" w:rsidR="00393D9B" w:rsidRPr="00067DF8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3</w:t>
            </w:r>
            <w:r w:rsidRPr="00067DF8">
              <w:rPr>
                <w:sz w:val="20"/>
                <w:lang w:val="en-US"/>
              </w:rPr>
              <w:t>-1</w:t>
            </w:r>
            <w:r>
              <w:rPr>
                <w:sz w:val="20"/>
                <w:lang w:val="en-US"/>
              </w:rPr>
              <w:t>4</w:t>
            </w:r>
            <w:r w:rsidRPr="00067DF8">
              <w:rPr>
                <w:sz w:val="20"/>
                <w:lang w:val="en-US"/>
              </w:rPr>
              <w:t>/1</w:t>
            </w:r>
          </w:p>
        </w:tc>
        <w:tc>
          <w:tcPr>
            <w:tcW w:w="851" w:type="dxa"/>
            <w:shd w:val="clear" w:color="auto" w:fill="FFFFFF" w:themeFill="background1"/>
          </w:tcPr>
          <w:p w14:paraId="161792EA" w14:textId="77777777" w:rsidR="00393D9B" w:rsidRPr="00067DF8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F38DA5" w14:textId="77777777" w:rsidR="00393D9B" w:rsidRPr="00067DF8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14:paraId="718DC86F" w14:textId="5DB33FD0" w:rsidR="00393D9B" w:rsidRPr="00067DF8" w:rsidRDefault="00393D9B" w:rsidP="00393D9B">
            <w:pPr>
              <w:pStyle w:val="BodyTextIndent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 xml:space="preserve">Group </w:t>
            </w:r>
            <w:r>
              <w:rPr>
                <w:sz w:val="20"/>
                <w:lang w:val="en-US"/>
              </w:rPr>
              <w:t>work</w:t>
            </w:r>
          </w:p>
        </w:tc>
      </w:tr>
      <w:tr w:rsidR="00393D9B" w:rsidRPr="00067DF8" w14:paraId="57368445" w14:textId="77777777" w:rsidTr="00FB44A9">
        <w:trPr>
          <w:trHeight w:val="425"/>
        </w:trPr>
        <w:tc>
          <w:tcPr>
            <w:tcW w:w="779" w:type="dxa"/>
            <w:shd w:val="clear" w:color="auto" w:fill="FFFFFF" w:themeFill="background1"/>
          </w:tcPr>
          <w:p w14:paraId="639E003F" w14:textId="407BB947" w:rsidR="00393D9B" w:rsidRPr="00067DF8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</w:t>
            </w:r>
            <w:r w:rsidRPr="00067DF8">
              <w:rPr>
                <w:sz w:val="20"/>
                <w:lang w:val="en-US"/>
              </w:rPr>
              <w:t>/1</w:t>
            </w:r>
          </w:p>
        </w:tc>
        <w:tc>
          <w:tcPr>
            <w:tcW w:w="851" w:type="dxa"/>
            <w:shd w:val="clear" w:color="auto" w:fill="FFFFFF" w:themeFill="background1"/>
          </w:tcPr>
          <w:p w14:paraId="34F96277" w14:textId="77777777" w:rsidR="00393D9B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>9-1</w:t>
            </w:r>
            <w:r w:rsidR="00EA0F90">
              <w:rPr>
                <w:sz w:val="20"/>
                <w:lang w:val="en-US"/>
              </w:rPr>
              <w:t>2,</w:t>
            </w:r>
          </w:p>
          <w:p w14:paraId="3F7C4FBF" w14:textId="70A5E6DF" w:rsidR="00EA0F90" w:rsidRPr="00067DF8" w:rsidRDefault="00EA0F90" w:rsidP="00393D9B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13-15</w:t>
            </w:r>
          </w:p>
        </w:tc>
        <w:tc>
          <w:tcPr>
            <w:tcW w:w="850" w:type="dxa"/>
            <w:shd w:val="clear" w:color="auto" w:fill="FFFFFF" w:themeFill="background1"/>
          </w:tcPr>
          <w:p w14:paraId="50C9ECB3" w14:textId="77777777" w:rsidR="00EA0F90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 xml:space="preserve">MN </w:t>
            </w:r>
          </w:p>
          <w:p w14:paraId="30CA4197" w14:textId="4F216FC6" w:rsidR="00393D9B" w:rsidRPr="00067DF8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 xml:space="preserve">MG </w:t>
            </w:r>
          </w:p>
        </w:tc>
        <w:tc>
          <w:tcPr>
            <w:tcW w:w="7088" w:type="dxa"/>
            <w:shd w:val="clear" w:color="auto" w:fill="FFFFFF" w:themeFill="background1"/>
          </w:tcPr>
          <w:p w14:paraId="5A42FED1" w14:textId="77777777" w:rsidR="00393D9B" w:rsidRPr="00067DF8" w:rsidRDefault="00393D9B" w:rsidP="00393D9B">
            <w:pPr>
              <w:pStyle w:val="BodyTextIndent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>Student conference</w:t>
            </w:r>
          </w:p>
        </w:tc>
      </w:tr>
      <w:tr w:rsidR="00393D9B" w:rsidRPr="00067DF8" w14:paraId="380466F8" w14:textId="77777777" w:rsidTr="00FB44A9">
        <w:trPr>
          <w:trHeight w:val="425"/>
        </w:trPr>
        <w:tc>
          <w:tcPr>
            <w:tcW w:w="779" w:type="dxa"/>
            <w:shd w:val="clear" w:color="auto" w:fill="FFFFFF" w:themeFill="background1"/>
          </w:tcPr>
          <w:p w14:paraId="55F8C072" w14:textId="2BA9740E" w:rsidR="00393D9B" w:rsidRPr="00067DF8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15/1</w:t>
            </w:r>
          </w:p>
        </w:tc>
        <w:tc>
          <w:tcPr>
            <w:tcW w:w="851" w:type="dxa"/>
            <w:shd w:val="clear" w:color="auto" w:fill="FFFFFF" w:themeFill="background1"/>
          </w:tcPr>
          <w:p w14:paraId="42FBB1E0" w14:textId="6CEC7F41" w:rsidR="00393D9B" w:rsidRPr="00067DF8" w:rsidRDefault="00393D9B" w:rsidP="00393D9B">
            <w:pPr>
              <w:pStyle w:val="BodyTextInden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8F38E8">
              <w:rPr>
                <w:sz w:val="20"/>
                <w:lang w:val="en-US"/>
              </w:rPr>
              <w:t>5</w:t>
            </w:r>
            <w:r>
              <w:rPr>
                <w:sz w:val="20"/>
                <w:lang w:val="en-US"/>
              </w:rPr>
              <w:t>.</w:t>
            </w:r>
            <w:r w:rsidR="008F38E8">
              <w:rPr>
                <w:sz w:val="20"/>
                <w:lang w:val="en-US"/>
              </w:rPr>
              <w:t>0</w:t>
            </w:r>
            <w:r>
              <w:rPr>
                <w:sz w:val="20"/>
                <w:lang w:val="en-US"/>
              </w:rPr>
              <w:t>0-17</w:t>
            </w:r>
          </w:p>
        </w:tc>
        <w:tc>
          <w:tcPr>
            <w:tcW w:w="850" w:type="dxa"/>
            <w:shd w:val="clear" w:color="auto" w:fill="FFFFFF" w:themeFill="background1"/>
          </w:tcPr>
          <w:p w14:paraId="4CE3BDC2" w14:textId="219832A1" w:rsidR="00393D9B" w:rsidRPr="00067DF8" w:rsidRDefault="00EA0F90" w:rsidP="00393D9B">
            <w:pPr>
              <w:pStyle w:val="BodyTextIndent"/>
              <w:jc w:val="both"/>
              <w:rPr>
                <w:sz w:val="20"/>
                <w:lang w:val="en-US"/>
              </w:rPr>
            </w:pPr>
            <w:r w:rsidRPr="00067DF8">
              <w:rPr>
                <w:sz w:val="20"/>
                <w:lang w:val="en-US"/>
              </w:rPr>
              <w:t>LW</w:t>
            </w:r>
            <w:r>
              <w:rPr>
                <w:sz w:val="20"/>
                <w:lang w:val="en-US"/>
              </w:rPr>
              <w:t>&amp; MG</w:t>
            </w:r>
          </w:p>
        </w:tc>
        <w:tc>
          <w:tcPr>
            <w:tcW w:w="7088" w:type="dxa"/>
            <w:shd w:val="clear" w:color="auto" w:fill="FFFFFF" w:themeFill="background1"/>
          </w:tcPr>
          <w:p w14:paraId="57F39E15" w14:textId="5B6BEFC3" w:rsidR="00393D9B" w:rsidRPr="00067DF8" w:rsidRDefault="00393D9B" w:rsidP="00393D9B">
            <w:pPr>
              <w:pStyle w:val="BodyTextInden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 conference (online)</w:t>
            </w:r>
          </w:p>
        </w:tc>
      </w:tr>
    </w:tbl>
    <w:p w14:paraId="75E9C9C9" w14:textId="5E1A1C95" w:rsidR="00C4331D" w:rsidRDefault="00C4331D" w:rsidP="00462CEE">
      <w:pPr>
        <w:rPr>
          <w:sz w:val="22"/>
          <w:szCs w:val="22"/>
          <w:lang w:val="en-US"/>
        </w:rPr>
      </w:pPr>
    </w:p>
    <w:p w14:paraId="2AC76C2D" w14:textId="3F8DD157" w:rsidR="006523BB" w:rsidRDefault="006523BB" w:rsidP="00462CEE">
      <w:pPr>
        <w:rPr>
          <w:sz w:val="22"/>
          <w:szCs w:val="22"/>
          <w:lang w:val="en-US"/>
        </w:rPr>
      </w:pPr>
    </w:p>
    <w:p w14:paraId="3EA4CC06" w14:textId="45F46216" w:rsidR="006523BB" w:rsidRDefault="006523BB" w:rsidP="00462CE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For examples of policy briefs, see: </w:t>
      </w:r>
    </w:p>
    <w:p w14:paraId="4B63AE26" w14:textId="527149FE" w:rsidR="006523BB" w:rsidRDefault="00D33EDB" w:rsidP="00462CEE">
      <w:pPr>
        <w:rPr>
          <w:sz w:val="22"/>
          <w:szCs w:val="22"/>
          <w:lang w:val="en-US"/>
        </w:rPr>
      </w:pPr>
      <w:hyperlink r:id="rId12" w:history="1">
        <w:r w:rsidR="0038726D" w:rsidRPr="00094341">
          <w:rPr>
            <w:rStyle w:val="Hyperlink"/>
            <w:sz w:val="22"/>
            <w:szCs w:val="22"/>
            <w:lang w:val="en-US"/>
          </w:rPr>
          <w:t>https://www.v-dem.net/en/publications/briefing-papers/</w:t>
        </w:r>
      </w:hyperlink>
    </w:p>
    <w:p w14:paraId="50B37A42" w14:textId="6A1DE16B" w:rsidR="0038726D" w:rsidRDefault="00D33EDB" w:rsidP="00462CEE">
      <w:pPr>
        <w:rPr>
          <w:sz w:val="22"/>
          <w:szCs w:val="22"/>
          <w:lang w:val="en-US"/>
        </w:rPr>
      </w:pPr>
      <w:hyperlink r:id="rId13" w:history="1">
        <w:r w:rsidR="0038726D" w:rsidRPr="00094341">
          <w:rPr>
            <w:rStyle w:val="Hyperlink"/>
            <w:sz w:val="22"/>
            <w:szCs w:val="22"/>
            <w:lang w:val="en-US"/>
          </w:rPr>
          <w:t>https://www.u4.no/search?filters=publications-only%2Cpub-U4%20Brief&amp;sort=year-desc</w:t>
        </w:r>
      </w:hyperlink>
      <w:r w:rsidR="0038726D">
        <w:rPr>
          <w:sz w:val="22"/>
          <w:szCs w:val="22"/>
          <w:lang w:val="en-US"/>
        </w:rPr>
        <w:t xml:space="preserve"> </w:t>
      </w:r>
    </w:p>
    <w:p w14:paraId="1E896DE6" w14:textId="3650AA3B" w:rsidR="0038726D" w:rsidRDefault="00D33EDB" w:rsidP="00462CEE">
      <w:pPr>
        <w:rPr>
          <w:sz w:val="22"/>
          <w:szCs w:val="22"/>
          <w:lang w:val="en-US"/>
        </w:rPr>
      </w:pPr>
      <w:hyperlink r:id="rId14" w:history="1">
        <w:r w:rsidR="0038726D" w:rsidRPr="00094341">
          <w:rPr>
            <w:rStyle w:val="Hyperlink"/>
            <w:sz w:val="22"/>
            <w:szCs w:val="22"/>
            <w:lang w:val="en-US"/>
          </w:rPr>
          <w:t>https://www.cmi.no/publications/search?pubtype=cmi-briefs</w:t>
        </w:r>
      </w:hyperlink>
    </w:p>
    <w:p w14:paraId="7DB3B05F" w14:textId="175DAA81" w:rsidR="0038726D" w:rsidRDefault="0038726D" w:rsidP="00462CEE">
      <w:pPr>
        <w:rPr>
          <w:sz w:val="22"/>
          <w:szCs w:val="22"/>
          <w:lang w:val="en-US"/>
        </w:rPr>
      </w:pPr>
    </w:p>
    <w:p w14:paraId="7F62C82A" w14:textId="2FF4CCFB" w:rsidR="0038726D" w:rsidRDefault="0038726D" w:rsidP="00462CE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Advocacy papers</w:t>
      </w:r>
    </w:p>
    <w:p w14:paraId="5D688F33" w14:textId="3EC932CD" w:rsidR="0038726D" w:rsidRDefault="00D33EDB" w:rsidP="00462CEE">
      <w:pPr>
        <w:rPr>
          <w:sz w:val="22"/>
          <w:szCs w:val="22"/>
          <w:lang w:val="en-US"/>
        </w:rPr>
      </w:pPr>
      <w:hyperlink r:id="rId15" w:history="1">
        <w:r w:rsidR="0038726D" w:rsidRPr="00094341">
          <w:rPr>
            <w:rStyle w:val="Hyperlink"/>
            <w:sz w:val="22"/>
            <w:szCs w:val="22"/>
            <w:lang w:val="en-US"/>
          </w:rPr>
          <w:t>https://www.globalwitness.org/en/campaigns/conflict-minerals/beneath-shine-tale-two-gold-refiners/</w:t>
        </w:r>
      </w:hyperlink>
    </w:p>
    <w:p w14:paraId="2AD92555" w14:textId="700053FE" w:rsidR="0038726D" w:rsidRDefault="00D33EDB" w:rsidP="00462CEE">
      <w:pPr>
        <w:rPr>
          <w:sz w:val="22"/>
          <w:szCs w:val="22"/>
          <w:lang w:val="en-US"/>
        </w:rPr>
      </w:pPr>
      <w:hyperlink r:id="rId16" w:history="1">
        <w:r w:rsidR="00F32356" w:rsidRPr="00094341">
          <w:rPr>
            <w:rStyle w:val="Hyperlink"/>
            <w:sz w:val="22"/>
            <w:szCs w:val="22"/>
            <w:lang w:val="en-US"/>
          </w:rPr>
          <w:t>https://oxfamilibrary.openrepository.com/bitstream/handle/10546/620877/bn-workers-rights-supermarket-supply-chains-101019-en.pdf?sequence=2&amp;isAllowed=y</w:t>
        </w:r>
      </w:hyperlink>
    </w:p>
    <w:p w14:paraId="3B6B3319" w14:textId="4066C57D" w:rsidR="00F32356" w:rsidRPr="00C4331D" w:rsidRDefault="00F32356" w:rsidP="00462CEE">
      <w:pPr>
        <w:rPr>
          <w:sz w:val="22"/>
          <w:szCs w:val="22"/>
          <w:lang w:val="en-US"/>
        </w:rPr>
      </w:pPr>
      <w:r w:rsidRPr="00F32356">
        <w:rPr>
          <w:sz w:val="22"/>
          <w:szCs w:val="22"/>
          <w:lang w:val="en-US"/>
        </w:rPr>
        <w:t>https://oxfamilibrary.openrepository.com/bitstream/handle/10546/620418/cr-ripe-for-change-supermarket-supply-chains-210618-summ-en.pdf?sequence=5&amp;isAllowed=y</w:t>
      </w:r>
    </w:p>
    <w:sectPr w:rsidR="00F32356" w:rsidRPr="00C4331D" w:rsidSect="007F4B86">
      <w:pgSz w:w="11906" w:h="16838"/>
      <w:pgMar w:top="1135" w:right="1418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EACC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6A0B"/>
    <w:multiLevelType w:val="hybridMultilevel"/>
    <w:tmpl w:val="0FBE69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233639"/>
    <w:multiLevelType w:val="hybridMultilevel"/>
    <w:tmpl w:val="B322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25FC"/>
    <w:multiLevelType w:val="hybridMultilevel"/>
    <w:tmpl w:val="F1EA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1D49"/>
    <w:multiLevelType w:val="multilevel"/>
    <w:tmpl w:val="7F74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94423"/>
    <w:multiLevelType w:val="hybridMultilevel"/>
    <w:tmpl w:val="5732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0D5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556A60"/>
    <w:multiLevelType w:val="singleLevel"/>
    <w:tmpl w:val="041D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D8183B"/>
    <w:multiLevelType w:val="hybridMultilevel"/>
    <w:tmpl w:val="66C0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56FEA"/>
    <w:multiLevelType w:val="multilevel"/>
    <w:tmpl w:val="8CB4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B1340"/>
    <w:multiLevelType w:val="hybridMultilevel"/>
    <w:tmpl w:val="6AC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8E"/>
    <w:rsid w:val="0003048B"/>
    <w:rsid w:val="00042C25"/>
    <w:rsid w:val="0006109E"/>
    <w:rsid w:val="0006416E"/>
    <w:rsid w:val="00067DF8"/>
    <w:rsid w:val="000723EC"/>
    <w:rsid w:val="0009218A"/>
    <w:rsid w:val="000C4AAE"/>
    <w:rsid w:val="000D4654"/>
    <w:rsid w:val="000D6C3E"/>
    <w:rsid w:val="000F3E32"/>
    <w:rsid w:val="0010371B"/>
    <w:rsid w:val="0010585A"/>
    <w:rsid w:val="0011047F"/>
    <w:rsid w:val="001104F6"/>
    <w:rsid w:val="00124310"/>
    <w:rsid w:val="0013201A"/>
    <w:rsid w:val="00153253"/>
    <w:rsid w:val="00156784"/>
    <w:rsid w:val="00162391"/>
    <w:rsid w:val="001B1171"/>
    <w:rsid w:val="001B2192"/>
    <w:rsid w:val="001B3BA5"/>
    <w:rsid w:val="001D5DCC"/>
    <w:rsid w:val="001D75BA"/>
    <w:rsid w:val="001E00E6"/>
    <w:rsid w:val="001E1CCD"/>
    <w:rsid w:val="001E75C7"/>
    <w:rsid w:val="00201D39"/>
    <w:rsid w:val="002020B4"/>
    <w:rsid w:val="00207F85"/>
    <w:rsid w:val="002122F9"/>
    <w:rsid w:val="00222073"/>
    <w:rsid w:val="00222212"/>
    <w:rsid w:val="00227E4A"/>
    <w:rsid w:val="002313A9"/>
    <w:rsid w:val="00242B37"/>
    <w:rsid w:val="00256D05"/>
    <w:rsid w:val="0026245C"/>
    <w:rsid w:val="0027598E"/>
    <w:rsid w:val="002825F9"/>
    <w:rsid w:val="00297D04"/>
    <w:rsid w:val="002B7634"/>
    <w:rsid w:val="002C04CD"/>
    <w:rsid w:val="002D21AA"/>
    <w:rsid w:val="002E45C8"/>
    <w:rsid w:val="002F120B"/>
    <w:rsid w:val="002F6391"/>
    <w:rsid w:val="00300D07"/>
    <w:rsid w:val="00304B9E"/>
    <w:rsid w:val="00310403"/>
    <w:rsid w:val="00311302"/>
    <w:rsid w:val="00313322"/>
    <w:rsid w:val="00313711"/>
    <w:rsid w:val="00313EE8"/>
    <w:rsid w:val="003203A3"/>
    <w:rsid w:val="0032168E"/>
    <w:rsid w:val="003353D8"/>
    <w:rsid w:val="00341AEA"/>
    <w:rsid w:val="00356ED2"/>
    <w:rsid w:val="003748C7"/>
    <w:rsid w:val="0038726D"/>
    <w:rsid w:val="00390F84"/>
    <w:rsid w:val="00393D9B"/>
    <w:rsid w:val="00394799"/>
    <w:rsid w:val="003B27EF"/>
    <w:rsid w:val="003D0904"/>
    <w:rsid w:val="003E288B"/>
    <w:rsid w:val="003E7AB1"/>
    <w:rsid w:val="003F191D"/>
    <w:rsid w:val="003F269E"/>
    <w:rsid w:val="003F544B"/>
    <w:rsid w:val="00400ECB"/>
    <w:rsid w:val="00401151"/>
    <w:rsid w:val="00402A1D"/>
    <w:rsid w:val="004147AD"/>
    <w:rsid w:val="004275D4"/>
    <w:rsid w:val="004434E4"/>
    <w:rsid w:val="004460B0"/>
    <w:rsid w:val="0045005D"/>
    <w:rsid w:val="00453585"/>
    <w:rsid w:val="0045766C"/>
    <w:rsid w:val="00462CEE"/>
    <w:rsid w:val="00466FB8"/>
    <w:rsid w:val="004873C8"/>
    <w:rsid w:val="004B5CFC"/>
    <w:rsid w:val="004C0677"/>
    <w:rsid w:val="004C2524"/>
    <w:rsid w:val="004C77B8"/>
    <w:rsid w:val="004D691C"/>
    <w:rsid w:val="004E1377"/>
    <w:rsid w:val="004F7C9D"/>
    <w:rsid w:val="00523230"/>
    <w:rsid w:val="00543650"/>
    <w:rsid w:val="005515BC"/>
    <w:rsid w:val="0055417E"/>
    <w:rsid w:val="00560212"/>
    <w:rsid w:val="005668AE"/>
    <w:rsid w:val="00572443"/>
    <w:rsid w:val="0058392F"/>
    <w:rsid w:val="005B336B"/>
    <w:rsid w:val="005B79DB"/>
    <w:rsid w:val="005C5B13"/>
    <w:rsid w:val="005E75AD"/>
    <w:rsid w:val="005F30E1"/>
    <w:rsid w:val="005F417F"/>
    <w:rsid w:val="005F5E22"/>
    <w:rsid w:val="006046A0"/>
    <w:rsid w:val="0061069A"/>
    <w:rsid w:val="00614EE4"/>
    <w:rsid w:val="00626168"/>
    <w:rsid w:val="00626951"/>
    <w:rsid w:val="00633564"/>
    <w:rsid w:val="006460DA"/>
    <w:rsid w:val="00651467"/>
    <w:rsid w:val="006523BB"/>
    <w:rsid w:val="00662C78"/>
    <w:rsid w:val="00674547"/>
    <w:rsid w:val="0068442B"/>
    <w:rsid w:val="006844C7"/>
    <w:rsid w:val="00690676"/>
    <w:rsid w:val="006925B8"/>
    <w:rsid w:val="006B3A54"/>
    <w:rsid w:val="006C2FD0"/>
    <w:rsid w:val="006C3994"/>
    <w:rsid w:val="006C6D60"/>
    <w:rsid w:val="006D00AF"/>
    <w:rsid w:val="006D0828"/>
    <w:rsid w:val="006D62CA"/>
    <w:rsid w:val="006E1A6B"/>
    <w:rsid w:val="00702016"/>
    <w:rsid w:val="00733ED4"/>
    <w:rsid w:val="0074673F"/>
    <w:rsid w:val="00750C09"/>
    <w:rsid w:val="00750C79"/>
    <w:rsid w:val="0078262D"/>
    <w:rsid w:val="00787860"/>
    <w:rsid w:val="007A73B3"/>
    <w:rsid w:val="007C422D"/>
    <w:rsid w:val="007D1538"/>
    <w:rsid w:val="007F4B86"/>
    <w:rsid w:val="00821FE8"/>
    <w:rsid w:val="00823236"/>
    <w:rsid w:val="00826594"/>
    <w:rsid w:val="00833FFF"/>
    <w:rsid w:val="0083646E"/>
    <w:rsid w:val="00847F4D"/>
    <w:rsid w:val="0086301E"/>
    <w:rsid w:val="0087238F"/>
    <w:rsid w:val="0088129A"/>
    <w:rsid w:val="008874A9"/>
    <w:rsid w:val="00891AD8"/>
    <w:rsid w:val="00897137"/>
    <w:rsid w:val="00897BED"/>
    <w:rsid w:val="008A04EE"/>
    <w:rsid w:val="008B2CEA"/>
    <w:rsid w:val="008C048F"/>
    <w:rsid w:val="008C250C"/>
    <w:rsid w:val="008C68A4"/>
    <w:rsid w:val="008D205B"/>
    <w:rsid w:val="008E193E"/>
    <w:rsid w:val="008F38E8"/>
    <w:rsid w:val="008F4CC9"/>
    <w:rsid w:val="0090461F"/>
    <w:rsid w:val="009101F6"/>
    <w:rsid w:val="00912850"/>
    <w:rsid w:val="0091675D"/>
    <w:rsid w:val="0091696B"/>
    <w:rsid w:val="00923B30"/>
    <w:rsid w:val="00924987"/>
    <w:rsid w:val="00925659"/>
    <w:rsid w:val="00935EF4"/>
    <w:rsid w:val="00941B09"/>
    <w:rsid w:val="00943FB1"/>
    <w:rsid w:val="009518E9"/>
    <w:rsid w:val="00962883"/>
    <w:rsid w:val="00963C35"/>
    <w:rsid w:val="00966419"/>
    <w:rsid w:val="0097454B"/>
    <w:rsid w:val="00982399"/>
    <w:rsid w:val="00985622"/>
    <w:rsid w:val="009B1DBA"/>
    <w:rsid w:val="009B7883"/>
    <w:rsid w:val="009C0BB6"/>
    <w:rsid w:val="009D15E6"/>
    <w:rsid w:val="009D2FF5"/>
    <w:rsid w:val="009D34BD"/>
    <w:rsid w:val="009D5391"/>
    <w:rsid w:val="009D7D0B"/>
    <w:rsid w:val="009E1E70"/>
    <w:rsid w:val="009F0E2B"/>
    <w:rsid w:val="009F7590"/>
    <w:rsid w:val="00A038A6"/>
    <w:rsid w:val="00A16505"/>
    <w:rsid w:val="00A16578"/>
    <w:rsid w:val="00A20037"/>
    <w:rsid w:val="00A201E1"/>
    <w:rsid w:val="00A2432C"/>
    <w:rsid w:val="00A277C0"/>
    <w:rsid w:val="00A27A63"/>
    <w:rsid w:val="00A3000C"/>
    <w:rsid w:val="00A30CC4"/>
    <w:rsid w:val="00A436AC"/>
    <w:rsid w:val="00A44CBA"/>
    <w:rsid w:val="00A60DA7"/>
    <w:rsid w:val="00A7115D"/>
    <w:rsid w:val="00A72B4B"/>
    <w:rsid w:val="00A84ACA"/>
    <w:rsid w:val="00A84D5E"/>
    <w:rsid w:val="00A913D7"/>
    <w:rsid w:val="00A93FB4"/>
    <w:rsid w:val="00A952E2"/>
    <w:rsid w:val="00AC65E0"/>
    <w:rsid w:val="00AD261A"/>
    <w:rsid w:val="00AD2F49"/>
    <w:rsid w:val="00AE1DCB"/>
    <w:rsid w:val="00AF2929"/>
    <w:rsid w:val="00AF4A09"/>
    <w:rsid w:val="00AF5F9B"/>
    <w:rsid w:val="00B02059"/>
    <w:rsid w:val="00B03A5A"/>
    <w:rsid w:val="00B10E43"/>
    <w:rsid w:val="00B14E14"/>
    <w:rsid w:val="00B22E35"/>
    <w:rsid w:val="00B5388F"/>
    <w:rsid w:val="00B54993"/>
    <w:rsid w:val="00B64763"/>
    <w:rsid w:val="00B71555"/>
    <w:rsid w:val="00B751E5"/>
    <w:rsid w:val="00B755BC"/>
    <w:rsid w:val="00B84655"/>
    <w:rsid w:val="00B955A4"/>
    <w:rsid w:val="00BA5CAD"/>
    <w:rsid w:val="00BC24E2"/>
    <w:rsid w:val="00BD0905"/>
    <w:rsid w:val="00BD577E"/>
    <w:rsid w:val="00BD7370"/>
    <w:rsid w:val="00BE0DB9"/>
    <w:rsid w:val="00BE2EAB"/>
    <w:rsid w:val="00BE360A"/>
    <w:rsid w:val="00BF3A6D"/>
    <w:rsid w:val="00C0362D"/>
    <w:rsid w:val="00C049AA"/>
    <w:rsid w:val="00C06DA4"/>
    <w:rsid w:val="00C0742B"/>
    <w:rsid w:val="00C125CF"/>
    <w:rsid w:val="00C238BD"/>
    <w:rsid w:val="00C322A2"/>
    <w:rsid w:val="00C4331D"/>
    <w:rsid w:val="00C54F77"/>
    <w:rsid w:val="00C63826"/>
    <w:rsid w:val="00C73257"/>
    <w:rsid w:val="00C75AD3"/>
    <w:rsid w:val="00C869E4"/>
    <w:rsid w:val="00C911A3"/>
    <w:rsid w:val="00C93AEB"/>
    <w:rsid w:val="00CA334D"/>
    <w:rsid w:val="00CB233B"/>
    <w:rsid w:val="00CB7A2B"/>
    <w:rsid w:val="00CC604F"/>
    <w:rsid w:val="00CC68DD"/>
    <w:rsid w:val="00CE1906"/>
    <w:rsid w:val="00CE1C19"/>
    <w:rsid w:val="00D01B5E"/>
    <w:rsid w:val="00D22A28"/>
    <w:rsid w:val="00D33EDB"/>
    <w:rsid w:val="00D55852"/>
    <w:rsid w:val="00D6641B"/>
    <w:rsid w:val="00D73CD5"/>
    <w:rsid w:val="00D7465E"/>
    <w:rsid w:val="00D83EF4"/>
    <w:rsid w:val="00D90D6A"/>
    <w:rsid w:val="00DC7639"/>
    <w:rsid w:val="00DD0BA6"/>
    <w:rsid w:val="00DD0D4A"/>
    <w:rsid w:val="00DD2501"/>
    <w:rsid w:val="00DD4BA4"/>
    <w:rsid w:val="00DF3A04"/>
    <w:rsid w:val="00E01F45"/>
    <w:rsid w:val="00E060ED"/>
    <w:rsid w:val="00E10105"/>
    <w:rsid w:val="00E152C2"/>
    <w:rsid w:val="00E2050F"/>
    <w:rsid w:val="00E22B82"/>
    <w:rsid w:val="00E244BF"/>
    <w:rsid w:val="00E24A3C"/>
    <w:rsid w:val="00E259A9"/>
    <w:rsid w:val="00E263BB"/>
    <w:rsid w:val="00E35406"/>
    <w:rsid w:val="00E56667"/>
    <w:rsid w:val="00E61338"/>
    <w:rsid w:val="00E65F65"/>
    <w:rsid w:val="00E660A7"/>
    <w:rsid w:val="00E73B3D"/>
    <w:rsid w:val="00E965B6"/>
    <w:rsid w:val="00E96B7E"/>
    <w:rsid w:val="00EA0F90"/>
    <w:rsid w:val="00EC1035"/>
    <w:rsid w:val="00EC4E06"/>
    <w:rsid w:val="00ED1D81"/>
    <w:rsid w:val="00ED6C8A"/>
    <w:rsid w:val="00EE1081"/>
    <w:rsid w:val="00EE2268"/>
    <w:rsid w:val="00EE2F44"/>
    <w:rsid w:val="00EE3A6F"/>
    <w:rsid w:val="00EF0A4C"/>
    <w:rsid w:val="00EF4436"/>
    <w:rsid w:val="00EF4790"/>
    <w:rsid w:val="00EF58BD"/>
    <w:rsid w:val="00EF7834"/>
    <w:rsid w:val="00F05385"/>
    <w:rsid w:val="00F077E0"/>
    <w:rsid w:val="00F129AF"/>
    <w:rsid w:val="00F152D3"/>
    <w:rsid w:val="00F2410D"/>
    <w:rsid w:val="00F32356"/>
    <w:rsid w:val="00F3579F"/>
    <w:rsid w:val="00F37230"/>
    <w:rsid w:val="00F5415F"/>
    <w:rsid w:val="00F63179"/>
    <w:rsid w:val="00F67209"/>
    <w:rsid w:val="00F73CFC"/>
    <w:rsid w:val="00F818B4"/>
    <w:rsid w:val="00F81E6D"/>
    <w:rsid w:val="00F92E98"/>
    <w:rsid w:val="00F9342A"/>
    <w:rsid w:val="00FA2133"/>
    <w:rsid w:val="00FB44A9"/>
    <w:rsid w:val="00FB5E11"/>
    <w:rsid w:val="00F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3EF3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284"/>
      </w:tabs>
      <w:spacing w:line="288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44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0"/>
        <w:tab w:val="left" w:pos="202"/>
        <w:tab w:val="left" w:pos="1304"/>
        <w:tab w:val="left" w:pos="1403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spacing w:after="120"/>
      <w:jc w:val="both"/>
    </w:pPr>
    <w:rPr>
      <w:sz w:val="24"/>
    </w:rPr>
  </w:style>
  <w:style w:type="paragraph" w:styleId="ListBullet">
    <w:name w:val="List Bullet"/>
    <w:basedOn w:val="Normal"/>
    <w:autoRedefine/>
    <w:pPr>
      <w:tabs>
        <w:tab w:val="left" w:pos="0"/>
        <w:tab w:val="left" w:pos="202"/>
        <w:tab w:val="left" w:pos="1304"/>
        <w:tab w:val="left" w:pos="1403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ind w:left="283" w:hanging="283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0"/>
        <w:tab w:val="left" w:pos="284"/>
      </w:tabs>
      <w:spacing w:line="288" w:lineRule="auto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BodyTextChar">
    <w:name w:val="Body Text Char"/>
    <w:link w:val="BodyText"/>
    <w:rsid w:val="00310403"/>
    <w:rPr>
      <w:sz w:val="24"/>
      <w:lang w:val="sv-SE" w:eastAsia="sv-SE" w:bidi="ar-SA"/>
    </w:rPr>
  </w:style>
  <w:style w:type="character" w:styleId="Hyperlink">
    <w:name w:val="Hyperlink"/>
    <w:rsid w:val="00963C35"/>
    <w:rPr>
      <w:color w:val="0000FF"/>
      <w:u w:val="single"/>
    </w:rPr>
  </w:style>
  <w:style w:type="table" w:styleId="TableGrid">
    <w:name w:val="Table Grid"/>
    <w:basedOn w:val="TableNormal"/>
    <w:rsid w:val="00C7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3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62D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5F417F"/>
    <w:rPr>
      <w:sz w:val="28"/>
    </w:rPr>
  </w:style>
  <w:style w:type="paragraph" w:styleId="Revision">
    <w:name w:val="Revision"/>
    <w:hidden/>
    <w:uiPriority w:val="99"/>
    <w:semiHidden/>
    <w:rsid w:val="0083646E"/>
  </w:style>
  <w:style w:type="paragraph" w:styleId="NormalWeb">
    <w:name w:val="Normal (Web)"/>
    <w:basedOn w:val="Normal"/>
    <w:uiPriority w:val="99"/>
    <w:unhideWhenUsed/>
    <w:rsid w:val="000F3E32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styleId="CommentReference">
    <w:name w:val="annotation reference"/>
    <w:basedOn w:val="DefaultParagraphFont"/>
    <w:rsid w:val="001B21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1B219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B219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F4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rsid w:val="004576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5D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47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64763"/>
    <w:rPr>
      <w:b/>
      <w:bCs/>
      <w:sz w:val="24"/>
      <w:szCs w:val="24"/>
    </w:rPr>
  </w:style>
  <w:style w:type="character" w:styleId="UnresolvedMention">
    <w:name w:val="Unresolved Mention"/>
    <w:basedOn w:val="DefaultParagraphFont"/>
    <w:rsid w:val="0024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nistotskaya@pol.gu.se" TargetMode="External"/><Relationship Id="rId13" Type="http://schemas.openxmlformats.org/officeDocument/2006/relationships/hyperlink" Target="https://www.u4.no/search?filters=publications-only%2Cpub-U4%20Brief&amp;sort=year-des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cia.grimes@pol.gu.se" TargetMode="External"/><Relationship Id="rId12" Type="http://schemas.openxmlformats.org/officeDocument/2006/relationships/hyperlink" Target="https://www.v-dem.net/en/publications/briefing-pap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xfamilibrary.openrepository.com/bitstream/handle/10546/620877/bn-workers-rights-supermarket-supply-chains-101019-en.pdf?sequence=2&amp;isAllowed=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wfd.org/wp-content/uploads/2016/10/westminster-foundation-for-democracy-a-strategic-approach-to-supporting-sister-parties-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lobalwitness.org/en/campaigns/conflict-minerals/beneath-shine-tale-two-gold-refiners/" TargetMode="External"/><Relationship Id="rId10" Type="http://schemas.openxmlformats.org/officeDocument/2006/relationships/hyperlink" Target="http://www.aljazeera.com/programmes/faultlines/2015/11/conflicted-fight-congo-minerals-1511180845414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a.gafuri@gu.se" TargetMode="External"/><Relationship Id="rId14" Type="http://schemas.openxmlformats.org/officeDocument/2006/relationships/hyperlink" Target="https://www.cmi.no/publications/search?pubtype=cmi-brie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5AD0-5BFE-3B4C-B6F9-19EC32A3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Göteborg 2002-11-07</vt:lpstr>
    </vt:vector>
  </TitlesOfParts>
  <Company>JMG</Company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 2002-11-07</dc:title>
  <dc:creator>JMG-projektdator</dc:creator>
  <cp:lastModifiedBy>Microsoft Office User</cp:lastModifiedBy>
  <cp:revision>35</cp:revision>
  <cp:lastPrinted>2020-11-03T16:03:00Z</cp:lastPrinted>
  <dcterms:created xsi:type="dcterms:W3CDTF">2020-10-13T10:54:00Z</dcterms:created>
  <dcterms:modified xsi:type="dcterms:W3CDTF">2020-11-12T13:00:00Z</dcterms:modified>
</cp:coreProperties>
</file>